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1F9FC" w14:textId="3C5F20EC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DD0ADF">
        <w:rPr>
          <w:rFonts w:ascii="Arial" w:eastAsia="Times New Roman" w:hAnsi="Arial"/>
          <w:b/>
          <w:sz w:val="24"/>
          <w:szCs w:val="24"/>
        </w:rPr>
        <w:t>5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DD0ADF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7F290C">
        <w:rPr>
          <w:rFonts w:ascii="Arial" w:hAnsi="Arial" w:cs="Arial"/>
          <w:b/>
          <w:bCs/>
          <w:color w:val="000000"/>
          <w:sz w:val="26"/>
          <w:szCs w:val="26"/>
        </w:rPr>
        <w:t>1754</w:t>
      </w:r>
    </w:p>
    <w:p w14:paraId="18202845" w14:textId="18F5E3F2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DD0ADF">
        <w:rPr>
          <w:rFonts w:ascii="Arial" w:hAnsi="Arial"/>
          <w:b/>
          <w:sz w:val="24"/>
          <w:szCs w:val="24"/>
          <w:lang w:eastAsia="zh-CN"/>
        </w:rPr>
        <w:t>Feb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D0ADF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676695" w:rsidRPr="00676695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67669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DD0ADF">
        <w:rPr>
          <w:rFonts w:ascii="Arial" w:hAnsi="Arial"/>
          <w:b/>
          <w:sz w:val="24"/>
          <w:szCs w:val="24"/>
          <w:lang w:eastAsia="zh-CN"/>
        </w:rPr>
        <w:t>Mar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D0ADF">
        <w:rPr>
          <w:rFonts w:ascii="Arial" w:hAnsi="Arial"/>
          <w:b/>
          <w:sz w:val="24"/>
          <w:szCs w:val="24"/>
          <w:lang w:eastAsia="zh-CN"/>
        </w:rPr>
        <w:t>3</w:t>
      </w:r>
      <w:r w:rsidR="00DD0ADF" w:rsidRPr="00DD0ADF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DD0ADF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24B58BE0" w14:textId="77777777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63C3DBAD" w14:textId="697443B2" w:rsidR="00390267" w:rsidRDefault="00390267" w:rsidP="0039026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</w:t>
      </w:r>
      <w:r w:rsidR="00B86655">
        <w:rPr>
          <w:rFonts w:ascii="Arial" w:eastAsia="MS Mincho" w:hAnsi="Arial" w:cs="Arial"/>
          <w:b/>
          <w:bCs/>
          <w:sz w:val="24"/>
        </w:rPr>
        <w:t>4</w:t>
      </w:r>
    </w:p>
    <w:p w14:paraId="6BCF6ABD" w14:textId="77777777" w:rsidR="00390267" w:rsidRDefault="00390267" w:rsidP="00390267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0F3ECE46" w14:textId="2C209758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B86655" w:rsidRPr="00B86655">
        <w:rPr>
          <w:rFonts w:ascii="Arial" w:eastAsia="Times New Roman" w:hAnsi="Arial" w:cs="Arial"/>
          <w:b/>
          <w:bCs/>
          <w:sz w:val="24"/>
        </w:rPr>
        <w:t>Alignment of Radio-Related Measurement and QoE Measurements</w:t>
      </w:r>
    </w:p>
    <w:p w14:paraId="777BFF69" w14:textId="77777777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6B0250E2" w14:textId="77777777" w:rsidR="00390267" w:rsidRDefault="00390267" w:rsidP="00390267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3DD8B5A4" w14:textId="4BF4103F" w:rsidR="009271C9" w:rsidRDefault="00390267" w:rsidP="00D81C03">
      <w:pPr>
        <w:contextualSpacing/>
        <w:rPr>
          <w:rFonts w:eastAsiaTheme="minorEastAsia"/>
          <w:lang w:eastAsia="zh-CN"/>
        </w:rPr>
      </w:pPr>
      <w:r w:rsidRPr="00FE3A9C">
        <w:rPr>
          <w:rFonts w:eastAsiaTheme="minorEastAsia"/>
          <w:lang w:eastAsia="zh-CN"/>
        </w:rPr>
        <w:t xml:space="preserve">In this paper, we discuss the </w:t>
      </w:r>
      <w:r w:rsidR="006F3A40">
        <w:rPr>
          <w:rFonts w:eastAsiaTheme="minorEastAsia"/>
          <w:lang w:eastAsia="zh-CN"/>
        </w:rPr>
        <w:t xml:space="preserve">topic </w:t>
      </w:r>
      <w:r w:rsidR="009271C9">
        <w:rPr>
          <w:rFonts w:eastAsiaTheme="minorEastAsia"/>
          <w:lang w:eastAsia="zh-CN"/>
        </w:rPr>
        <w:t>of</w:t>
      </w:r>
      <w:r w:rsidR="00017468">
        <w:rPr>
          <w:rFonts w:eastAsiaTheme="minorEastAsia"/>
          <w:lang w:eastAsia="zh-CN"/>
        </w:rPr>
        <w:t xml:space="preserve"> the alignment of </w:t>
      </w:r>
      <w:r w:rsidR="009271C9">
        <w:rPr>
          <w:rFonts w:eastAsiaTheme="minorEastAsia"/>
          <w:lang w:eastAsia="zh-CN"/>
        </w:rPr>
        <w:t xml:space="preserve">radio-related </w:t>
      </w:r>
      <w:r w:rsidR="00017468">
        <w:rPr>
          <w:rFonts w:eastAsiaTheme="minorEastAsia"/>
          <w:lang w:eastAsia="zh-CN"/>
        </w:rPr>
        <w:t>and QoE measurement</w:t>
      </w:r>
      <w:r w:rsidR="009271C9">
        <w:rPr>
          <w:rFonts w:eastAsiaTheme="minorEastAsia"/>
          <w:lang w:eastAsia="zh-CN"/>
        </w:rPr>
        <w:t xml:space="preserve">s </w:t>
      </w:r>
      <w:r w:rsidR="009E39F1">
        <w:rPr>
          <w:rFonts w:eastAsiaTheme="minorEastAsia"/>
          <w:lang w:eastAsia="zh-CN"/>
        </w:rPr>
        <w:t xml:space="preserve">further </w:t>
      </w:r>
      <w:r w:rsidR="009271C9">
        <w:rPr>
          <w:rFonts w:eastAsiaTheme="minorEastAsia"/>
          <w:lang w:eastAsia="zh-CN"/>
        </w:rPr>
        <w:t>based on the open issues identified last meeting</w:t>
      </w:r>
      <w:r w:rsidR="009E39F1">
        <w:rPr>
          <w:rFonts w:eastAsiaTheme="minorEastAsia"/>
          <w:lang w:eastAsia="zh-CN"/>
        </w:rPr>
        <w:t>.</w:t>
      </w:r>
    </w:p>
    <w:p w14:paraId="6D202FA1" w14:textId="77777777" w:rsidR="00AA7C1B" w:rsidRDefault="00AA7C1B" w:rsidP="00D81C03">
      <w:pPr>
        <w:contextualSpacing/>
        <w:rPr>
          <w:rFonts w:eastAsiaTheme="minorEastAsia"/>
          <w:lang w:eastAsia="zh-CN"/>
        </w:rPr>
      </w:pPr>
    </w:p>
    <w:p w14:paraId="1518F9E3" w14:textId="77777777" w:rsidR="00AA7C1B" w:rsidRPr="00AA7C1B" w:rsidRDefault="00AA7C1B" w:rsidP="002C519B">
      <w:pPr>
        <w:ind w:left="72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color w:val="4472C4" w:themeColor="accent1"/>
          <w:lang w:val="en-US" w:eastAsia="zh-CN"/>
        </w:rPr>
        <w:t>RAN3 to down select between the following 2 options:</w:t>
      </w:r>
    </w:p>
    <w:p w14:paraId="7A372538" w14:textId="77777777" w:rsidR="00AA7C1B" w:rsidRPr="00AA7C1B" w:rsidRDefault="00AA7C1B" w:rsidP="002C519B">
      <w:pPr>
        <w:ind w:left="144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b/>
          <w:bCs/>
          <w:color w:val="4472C4" w:themeColor="accent1"/>
          <w:lang w:val="en-US" w:eastAsia="zh-CN"/>
        </w:rPr>
        <w:t xml:space="preserve">Option 1: </w:t>
      </w:r>
      <w:r w:rsidRPr="00AA7C1B">
        <w:rPr>
          <w:rFonts w:eastAsiaTheme="minorEastAsia"/>
          <w:color w:val="4472C4" w:themeColor="accent1"/>
          <w:lang w:val="en-US" w:eastAsia="zh-CN"/>
        </w:rPr>
        <w:t xml:space="preserve">gNB-CU-CP can send the MCE address of the QoE configuration to gNB-DU and gNB-CU-UP so that it can forward the correlated MDT reports to the MCE. </w:t>
      </w:r>
    </w:p>
    <w:p w14:paraId="309BD88B" w14:textId="77777777" w:rsidR="00AA7C1B" w:rsidRPr="00AA7C1B" w:rsidRDefault="00AA7C1B" w:rsidP="002C519B">
      <w:pPr>
        <w:ind w:left="144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b/>
          <w:bCs/>
          <w:color w:val="4472C4" w:themeColor="accent1"/>
          <w:lang w:val="en-US" w:eastAsia="zh-CN"/>
        </w:rPr>
        <w:t xml:space="preserve">Option 2: </w:t>
      </w:r>
      <w:r w:rsidRPr="00AA7C1B">
        <w:rPr>
          <w:rFonts w:eastAsiaTheme="minorEastAsia"/>
          <w:color w:val="4472C4" w:themeColor="accent1"/>
          <w:lang w:val="en-US" w:eastAsia="zh-CN"/>
        </w:rPr>
        <w:t>OAM should make sure that the MCE and TCE have the same IP address for the correlated QoE-MDT configurations</w:t>
      </w:r>
    </w:p>
    <w:p w14:paraId="65CF286E" w14:textId="77777777" w:rsidR="00AA7C1B" w:rsidRPr="00AA7C1B" w:rsidRDefault="00AA7C1B" w:rsidP="002C519B">
      <w:pPr>
        <w:ind w:left="72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color w:val="4472C4" w:themeColor="accent1"/>
          <w:lang w:val="en-US" w:eastAsia="zh-CN"/>
        </w:rPr>
        <w:t>FFS whether to support the alignment between s-based QoE and m-based MDT</w:t>
      </w:r>
    </w:p>
    <w:p w14:paraId="574EFF4B" w14:textId="77777777" w:rsidR="00AA7C1B" w:rsidRPr="00AA7C1B" w:rsidRDefault="00AA7C1B" w:rsidP="002C519B">
      <w:pPr>
        <w:ind w:left="72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color w:val="4472C4" w:themeColor="accent1"/>
          <w:lang w:val="en-US" w:eastAsia="zh-CN"/>
        </w:rPr>
        <w:t>FFS whether to support the scenario where QoE measurement session span across multiple gNBs configured with m-based MDT with different Trace Reference. The following is to be clarified:</w:t>
      </w:r>
    </w:p>
    <w:p w14:paraId="0CA4B957" w14:textId="77777777" w:rsidR="00AA7C1B" w:rsidRPr="00AA7C1B" w:rsidRDefault="00AA7C1B" w:rsidP="002C519B">
      <w:pPr>
        <w:ind w:left="144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color w:val="4472C4" w:themeColor="accent1"/>
          <w:lang w:val="en-US" w:eastAsia="zh-CN"/>
        </w:rPr>
        <w:t>Is this scenario to make sure MCE understands the same UE?</w:t>
      </w:r>
    </w:p>
    <w:p w14:paraId="2666F0F6" w14:textId="77777777" w:rsidR="00AA7C1B" w:rsidRPr="00AA7C1B" w:rsidRDefault="00AA7C1B" w:rsidP="002C519B">
      <w:pPr>
        <w:ind w:left="144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color w:val="4472C4" w:themeColor="accent1"/>
          <w:lang w:val="en-US" w:eastAsia="zh-CN"/>
        </w:rPr>
        <w:t>There is no requirement today to ensure an incoming UE (handover from another gNB) is selected for m-based MDT. Isn’t that needed for the above scenario?</w:t>
      </w:r>
    </w:p>
    <w:p w14:paraId="5636C33D" w14:textId="77777777" w:rsidR="00AA7C1B" w:rsidRPr="00AA7C1B" w:rsidRDefault="00AA7C1B" w:rsidP="002C519B">
      <w:pPr>
        <w:ind w:left="720"/>
        <w:contextualSpacing/>
        <w:rPr>
          <w:rFonts w:eastAsiaTheme="minorEastAsia"/>
          <w:color w:val="4472C4" w:themeColor="accent1"/>
          <w:lang w:val="en-US" w:eastAsia="zh-CN"/>
        </w:rPr>
      </w:pPr>
      <w:r w:rsidRPr="00AA7C1B">
        <w:rPr>
          <w:rFonts w:eastAsiaTheme="minorEastAsia"/>
          <w:color w:val="4472C4" w:themeColor="accent1"/>
          <w:lang w:val="en-US" w:eastAsia="zh-CN"/>
        </w:rPr>
        <w:t>FFS whether the MDT Alignment Information structure should contain the alignment info for m-based QoE in NGAP and XnAP</w:t>
      </w:r>
    </w:p>
    <w:p w14:paraId="7530AAB5" w14:textId="77777777" w:rsidR="00AA7C1B" w:rsidRDefault="00AA7C1B" w:rsidP="00D81C03">
      <w:pPr>
        <w:contextualSpacing/>
        <w:rPr>
          <w:rFonts w:eastAsiaTheme="minorEastAsia"/>
          <w:lang w:eastAsia="zh-CN"/>
        </w:rPr>
      </w:pPr>
    </w:p>
    <w:p w14:paraId="04A23FFF" w14:textId="77777777" w:rsidR="00D81C03" w:rsidRDefault="00D81C03" w:rsidP="00D81C03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32"/>
        </w:tabs>
        <w:ind w:left="432" w:hanging="432"/>
      </w:pPr>
      <w:r>
        <w:t>Discussion</w:t>
      </w:r>
    </w:p>
    <w:p w14:paraId="47A1102F" w14:textId="715EA7AD" w:rsidR="00794851" w:rsidRDefault="00794851" w:rsidP="00AF3405">
      <w:pPr>
        <w:pStyle w:val="Heading2"/>
        <w:numPr>
          <w:ilvl w:val="1"/>
          <w:numId w:val="2"/>
        </w:numPr>
        <w:tabs>
          <w:tab w:val="left" w:pos="720"/>
        </w:tabs>
      </w:pPr>
      <w:r>
        <w:t xml:space="preserve">Session start/end indication for only </w:t>
      </w:r>
      <w:r w:rsidR="006863C5">
        <w:t xml:space="preserve">those </w:t>
      </w:r>
      <w:r>
        <w:t xml:space="preserve">QoE </w:t>
      </w:r>
      <w:r w:rsidR="006863C5">
        <w:t>configurations</w:t>
      </w:r>
      <w:r>
        <w:t xml:space="preserve"> for which MDT-QoE alignment is desired</w:t>
      </w:r>
    </w:p>
    <w:p w14:paraId="37CEB195" w14:textId="270B8024" w:rsidR="00110770" w:rsidRDefault="00110770" w:rsidP="00110770">
      <w:pPr>
        <w:rPr>
          <w:lang w:eastAsia="x-none"/>
        </w:rPr>
      </w:pPr>
      <w:r>
        <w:rPr>
          <w:lang w:eastAsia="x-none"/>
        </w:rPr>
        <w:t>The following was agreed in R3#114bis-e:</w:t>
      </w:r>
    </w:p>
    <w:p w14:paraId="706B62C8" w14:textId="57539474" w:rsidR="00110770" w:rsidRDefault="00110770" w:rsidP="00640641">
      <w:pPr>
        <w:ind w:left="720"/>
        <w:rPr>
          <w:color w:val="00B050"/>
          <w:lang w:eastAsia="x-none"/>
        </w:rPr>
      </w:pPr>
      <w:r w:rsidRPr="00110770">
        <w:rPr>
          <w:color w:val="00B050"/>
          <w:lang w:eastAsia="x-none"/>
        </w:rPr>
        <w:t>UE assisted solution can be used for MDT-QoE alignment</w:t>
      </w:r>
      <w:r w:rsidRPr="00640641">
        <w:rPr>
          <w:color w:val="00B050"/>
          <w:lang w:eastAsia="x-none"/>
        </w:rPr>
        <w:t xml:space="preserve">. </w:t>
      </w:r>
      <w:r w:rsidRPr="00110770">
        <w:rPr>
          <w:color w:val="00B050"/>
          <w:lang w:eastAsia="x-none"/>
        </w:rPr>
        <w:t>UE can indicate to NG-RAN via a flag whether a QoE measurement session started/ended</w:t>
      </w:r>
    </w:p>
    <w:p w14:paraId="3C7302AD" w14:textId="2B9D29C3" w:rsidR="006863C5" w:rsidRPr="000E3F06" w:rsidRDefault="000E3F06" w:rsidP="006863C5">
      <w:pPr>
        <w:rPr>
          <w:lang w:eastAsia="x-none"/>
        </w:rPr>
      </w:pPr>
      <w:r w:rsidRPr="000E3F06">
        <w:rPr>
          <w:lang w:eastAsia="x-none"/>
        </w:rPr>
        <w:t>In case multiple QoE configurations</w:t>
      </w:r>
      <w:r>
        <w:rPr>
          <w:lang w:eastAsia="x-none"/>
        </w:rPr>
        <w:t xml:space="preserve"> are activated in a UE</w:t>
      </w:r>
      <w:r w:rsidRPr="000E3F06">
        <w:rPr>
          <w:lang w:eastAsia="x-none"/>
        </w:rPr>
        <w:t>, there can be 2 cases</w:t>
      </w:r>
      <w:r>
        <w:rPr>
          <w:lang w:eastAsia="x-none"/>
        </w:rPr>
        <w:t xml:space="preserve"> in regards to MDT-QoE alignment</w:t>
      </w:r>
      <w:r w:rsidRPr="000E3F06">
        <w:rPr>
          <w:lang w:eastAsia="x-none"/>
        </w:rPr>
        <w:t>:</w:t>
      </w:r>
    </w:p>
    <w:p w14:paraId="468D1ED7" w14:textId="6E70DD79" w:rsidR="000E3F06" w:rsidRPr="000E3F06" w:rsidRDefault="000E3F06" w:rsidP="000E3F06">
      <w:pPr>
        <w:pStyle w:val="ListParagraph"/>
        <w:numPr>
          <w:ilvl w:val="0"/>
          <w:numId w:val="27"/>
        </w:numPr>
        <w:rPr>
          <w:lang w:eastAsia="x-none"/>
        </w:rPr>
      </w:pPr>
      <w:r w:rsidRPr="000E3F06">
        <w:rPr>
          <w:lang w:eastAsia="x-none"/>
        </w:rPr>
        <w:t>Case 1: All QoE configurations are to be correlated with MDT</w:t>
      </w:r>
    </w:p>
    <w:p w14:paraId="48DD965A" w14:textId="6E2FA752" w:rsidR="000E3F06" w:rsidRPr="000E3F06" w:rsidRDefault="000E3F06" w:rsidP="000E3F06">
      <w:pPr>
        <w:pStyle w:val="ListParagraph"/>
        <w:numPr>
          <w:ilvl w:val="0"/>
          <w:numId w:val="27"/>
        </w:numPr>
        <w:rPr>
          <w:lang w:eastAsia="x-none"/>
        </w:rPr>
      </w:pPr>
      <w:r w:rsidRPr="000E3F06">
        <w:rPr>
          <w:lang w:eastAsia="x-none"/>
        </w:rPr>
        <w:t xml:space="preserve">Case 2: Only a subset of QoE configurations </w:t>
      </w:r>
      <w:r>
        <w:rPr>
          <w:lang w:eastAsia="x-none"/>
        </w:rPr>
        <w:t>need</w:t>
      </w:r>
      <w:r w:rsidRPr="000E3F06">
        <w:rPr>
          <w:lang w:eastAsia="x-none"/>
        </w:rPr>
        <w:t xml:space="preserve"> to be correlated with MDT</w:t>
      </w:r>
    </w:p>
    <w:p w14:paraId="40BC4608" w14:textId="661639B3" w:rsidR="007F1F26" w:rsidRDefault="000E3F06" w:rsidP="007F1F26">
      <w:pPr>
        <w:rPr>
          <w:lang w:eastAsia="x-none"/>
        </w:rPr>
      </w:pPr>
      <w:r>
        <w:rPr>
          <w:lang w:eastAsia="x-none"/>
        </w:rPr>
        <w:t>It seems</w:t>
      </w:r>
      <w:r w:rsidR="007F1F26">
        <w:rPr>
          <w:lang w:eastAsia="x-none"/>
        </w:rPr>
        <w:t xml:space="preserve"> we didn’t consider </w:t>
      </w:r>
      <w:r>
        <w:rPr>
          <w:lang w:eastAsia="x-none"/>
        </w:rPr>
        <w:t>case 2</w:t>
      </w:r>
      <w:r w:rsidR="007F1F26">
        <w:rPr>
          <w:lang w:eastAsia="x-none"/>
        </w:rPr>
        <w:t xml:space="preserve"> </w:t>
      </w:r>
      <w:r>
        <w:rPr>
          <w:lang w:eastAsia="x-none"/>
        </w:rPr>
        <w:t>(</w:t>
      </w:r>
      <w:r w:rsidR="007F1F26">
        <w:rPr>
          <w:lang w:eastAsia="x-none"/>
        </w:rPr>
        <w:t xml:space="preserve">where only </w:t>
      </w:r>
      <w:r w:rsidR="00B958C3">
        <w:rPr>
          <w:lang w:eastAsia="x-none"/>
        </w:rPr>
        <w:t>certain QoE configurations require MDT-QoE alignment</w:t>
      </w:r>
      <w:r>
        <w:rPr>
          <w:lang w:eastAsia="x-none"/>
        </w:rPr>
        <w:t>) while agreeing to the UE assisted solution</w:t>
      </w:r>
      <w:r w:rsidR="00B958C3">
        <w:rPr>
          <w:lang w:eastAsia="x-none"/>
        </w:rPr>
        <w:t xml:space="preserve">. </w:t>
      </w:r>
      <w:r w:rsidR="00A53B3B">
        <w:rPr>
          <w:lang w:eastAsia="x-none"/>
        </w:rPr>
        <w:t>In that case, s</w:t>
      </w:r>
      <w:r w:rsidR="00A53B3B" w:rsidRPr="00A53B3B">
        <w:rPr>
          <w:lang w:eastAsia="x-none"/>
        </w:rPr>
        <w:t>ession start/end indication is blindly sent by UE for all QoE configurations</w:t>
      </w:r>
      <w:r w:rsidR="00A53B3B">
        <w:rPr>
          <w:lang w:eastAsia="x-none"/>
        </w:rPr>
        <w:t>.</w:t>
      </w:r>
    </w:p>
    <w:p w14:paraId="2020B0A1" w14:textId="38190175" w:rsidR="007F1F26" w:rsidRPr="007F1F26" w:rsidRDefault="00A53B3B" w:rsidP="007F1F26">
      <w:pPr>
        <w:rPr>
          <w:lang w:eastAsia="x-none"/>
        </w:rPr>
      </w:pPr>
      <w:r>
        <w:rPr>
          <w:lang w:eastAsia="x-none"/>
        </w:rPr>
        <w:t>For example, consider the s</w:t>
      </w:r>
      <w:r w:rsidR="007F1F26" w:rsidRPr="007F1F26">
        <w:rPr>
          <w:lang w:eastAsia="x-none"/>
        </w:rPr>
        <w:t>cenario</w:t>
      </w:r>
      <w:r>
        <w:rPr>
          <w:lang w:eastAsia="x-none"/>
        </w:rPr>
        <w:t xml:space="preserve"> where</w:t>
      </w:r>
      <w:r w:rsidR="007F1F26" w:rsidRPr="007F1F26">
        <w:rPr>
          <w:lang w:eastAsia="x-none"/>
        </w:rPr>
        <w:t xml:space="preserve"> </w:t>
      </w:r>
      <w:r w:rsidR="000E3F06">
        <w:rPr>
          <w:lang w:eastAsia="x-none"/>
        </w:rPr>
        <w:t xml:space="preserve">a </w:t>
      </w:r>
      <w:r w:rsidR="007F1F26" w:rsidRPr="007F1F26">
        <w:rPr>
          <w:lang w:eastAsia="x-none"/>
        </w:rPr>
        <w:t>QoE configuration 1 is to be aligned with Trace Reference 1,</w:t>
      </w:r>
      <w:r w:rsidR="000E3F06">
        <w:rPr>
          <w:lang w:eastAsia="x-none"/>
        </w:rPr>
        <w:t xml:space="preserve"> and </w:t>
      </w:r>
      <w:r w:rsidR="007F1F26" w:rsidRPr="007F1F26">
        <w:rPr>
          <w:lang w:eastAsia="x-none"/>
        </w:rPr>
        <w:t>QoE configuration 2 is not needed to be aligned with any MDT configuration</w:t>
      </w:r>
      <w:r w:rsidR="00A51A13">
        <w:rPr>
          <w:lang w:eastAsia="x-none"/>
        </w:rPr>
        <w:t>. In this case, s</w:t>
      </w:r>
      <w:r w:rsidR="00A51A13" w:rsidRPr="00A51A13">
        <w:rPr>
          <w:lang w:eastAsia="x-none"/>
        </w:rPr>
        <w:t xml:space="preserve">ession start/end indication is </w:t>
      </w:r>
      <w:r w:rsidR="00A51A13" w:rsidRPr="00A51A13">
        <w:rPr>
          <w:lang w:eastAsia="x-none"/>
        </w:rPr>
        <w:lastRenderedPageBreak/>
        <w:t>sent unnecessarily for QoE configuration</w:t>
      </w:r>
      <w:r w:rsidR="00A51A13">
        <w:rPr>
          <w:lang w:eastAsia="x-none"/>
        </w:rPr>
        <w:t xml:space="preserve"> 2</w:t>
      </w:r>
      <w:r w:rsidR="00A51A13" w:rsidRPr="00A51A13">
        <w:rPr>
          <w:lang w:eastAsia="x-none"/>
        </w:rPr>
        <w:t xml:space="preserve"> for which MDT-QoE alignment is not even required, resulting in waste of radio resources over RRC</w:t>
      </w:r>
    </w:p>
    <w:p w14:paraId="1AEBE77E" w14:textId="39AC5205" w:rsidR="007F1F26" w:rsidRPr="007F1F26" w:rsidRDefault="007F1F26" w:rsidP="007F1F26">
      <w:pPr>
        <w:rPr>
          <w:lang w:eastAsia="x-none"/>
        </w:rPr>
      </w:pPr>
      <w:r w:rsidRPr="007F1F26">
        <w:rPr>
          <w:b/>
          <w:bCs/>
          <w:lang w:eastAsia="x-none"/>
        </w:rPr>
        <w:t>Observation</w:t>
      </w:r>
      <w:r w:rsidR="000E3F06">
        <w:rPr>
          <w:b/>
          <w:bCs/>
          <w:lang w:eastAsia="x-none"/>
        </w:rPr>
        <w:t xml:space="preserve"> 1</w:t>
      </w:r>
      <w:r w:rsidRPr="007F1F26">
        <w:rPr>
          <w:lang w:eastAsia="x-none"/>
        </w:rPr>
        <w:t xml:space="preserve">: </w:t>
      </w:r>
      <w:r w:rsidR="00640641">
        <w:rPr>
          <w:lang w:eastAsia="x-none"/>
        </w:rPr>
        <w:t>As per current agreement, s</w:t>
      </w:r>
      <w:r w:rsidRPr="007F1F26">
        <w:rPr>
          <w:lang w:eastAsia="x-none"/>
        </w:rPr>
        <w:t>ession start/end indication is blindly sent by UE for all QoE configurations</w:t>
      </w:r>
      <w:r w:rsidR="00A51A13">
        <w:rPr>
          <w:lang w:eastAsia="x-none"/>
        </w:rPr>
        <w:t>, even for those QoE configurations which don’t require MDT-QoE alignment</w:t>
      </w:r>
      <w:r w:rsidR="00640641" w:rsidRPr="00640641">
        <w:rPr>
          <w:lang w:eastAsia="x-none"/>
        </w:rPr>
        <w:t>, resulting in wast</w:t>
      </w:r>
      <w:r w:rsidR="00640641">
        <w:rPr>
          <w:lang w:eastAsia="x-none"/>
        </w:rPr>
        <w:t>age</w:t>
      </w:r>
      <w:r w:rsidR="00640641" w:rsidRPr="00640641">
        <w:rPr>
          <w:lang w:eastAsia="x-none"/>
        </w:rPr>
        <w:t xml:space="preserve"> of radio resources over RRC</w:t>
      </w:r>
      <w:r w:rsidR="00640641">
        <w:rPr>
          <w:lang w:eastAsia="x-none"/>
        </w:rPr>
        <w:t xml:space="preserve"> and adds to UE complexity</w:t>
      </w:r>
    </w:p>
    <w:p w14:paraId="0969C4CA" w14:textId="136C7B12" w:rsidR="006863C5" w:rsidRPr="006863C5" w:rsidRDefault="001D71EB" w:rsidP="006863C5">
      <w:pPr>
        <w:rPr>
          <w:lang w:eastAsia="x-none"/>
        </w:rPr>
      </w:pPr>
      <w:r>
        <w:rPr>
          <w:lang w:eastAsia="x-none"/>
        </w:rPr>
        <w:t xml:space="preserve">We therefore propose a simple flag-based solution by which </w:t>
      </w:r>
      <w:r w:rsidR="006863C5" w:rsidRPr="006863C5">
        <w:rPr>
          <w:lang w:eastAsia="x-none"/>
        </w:rPr>
        <w:t>NG-RAN can include a flag in the QoE configuration sent to UE indicating that UE should send QoE measurement session start/end indication only for that QoE configuration (identified by a QoE Reference)</w:t>
      </w:r>
    </w:p>
    <w:p w14:paraId="77420307" w14:textId="72EC39BB" w:rsidR="00110770" w:rsidRDefault="009879B3" w:rsidP="00110770">
      <w:pPr>
        <w:rPr>
          <w:lang w:eastAsia="x-none"/>
        </w:rPr>
      </w:pPr>
      <w:r>
        <w:rPr>
          <w:noProof/>
          <w:lang w:eastAsia="x-none"/>
        </w:rPr>
        <w:drawing>
          <wp:inline distT="0" distB="0" distL="0" distR="0" wp14:anchorId="3C627E70" wp14:editId="582DDFB6">
            <wp:extent cx="6580390" cy="277989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817" cy="2801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0425B6" w14:textId="709D554F" w:rsidR="003D601C" w:rsidRPr="003D601C" w:rsidRDefault="003D601C" w:rsidP="003D601C">
      <w:pPr>
        <w:rPr>
          <w:lang w:eastAsia="x-none"/>
        </w:rPr>
      </w:pPr>
      <w:r>
        <w:rPr>
          <w:lang w:eastAsia="x-none"/>
        </w:rPr>
        <w:t>Using the above flag-based solution, s</w:t>
      </w:r>
      <w:r w:rsidRPr="003D601C">
        <w:rPr>
          <w:lang w:eastAsia="x-none"/>
        </w:rPr>
        <w:t>ession start/end indication is NOT sent unnecessarily for QoE configuration</w:t>
      </w:r>
      <w:r>
        <w:rPr>
          <w:lang w:eastAsia="x-none"/>
        </w:rPr>
        <w:t xml:space="preserve"> 2</w:t>
      </w:r>
      <w:r w:rsidRPr="003D601C">
        <w:rPr>
          <w:lang w:eastAsia="x-none"/>
        </w:rPr>
        <w:t xml:space="preserve"> for which MDT-QoE alignment is not required </w:t>
      </w:r>
    </w:p>
    <w:p w14:paraId="7BF3ABA6" w14:textId="032F42B6" w:rsidR="00CE7F05" w:rsidRPr="00CE7F05" w:rsidRDefault="00CE7F05" w:rsidP="00CE7F05">
      <w:pPr>
        <w:rPr>
          <w:lang w:val="en-US" w:eastAsia="x-none"/>
        </w:rPr>
      </w:pPr>
      <w:r w:rsidRPr="00CE7F05">
        <w:rPr>
          <w:b/>
          <w:bCs/>
          <w:lang w:val="en-US" w:eastAsia="x-none"/>
        </w:rPr>
        <w:t>Proposal 1:</w:t>
      </w:r>
      <w:r w:rsidRPr="00CE7F05">
        <w:rPr>
          <w:lang w:val="en-US" w:eastAsia="x-none"/>
        </w:rPr>
        <w:t xml:space="preserve"> NG-RAN can include a “</w:t>
      </w:r>
      <w:r w:rsidRPr="00CE7F05">
        <w:rPr>
          <w:b/>
          <w:bCs/>
          <w:color w:val="00B050"/>
          <w:u w:val="single"/>
          <w:lang w:val="en-US" w:eastAsia="x-none"/>
        </w:rPr>
        <w:t>session start/end indication needed per QoE configuration</w:t>
      </w:r>
      <w:r w:rsidRPr="00CE7F05">
        <w:rPr>
          <w:lang w:val="en-US" w:eastAsia="x-none"/>
        </w:rPr>
        <w:t xml:space="preserve">” flag in the QoE configuration sent to UE indicating that UE should send QoE measurement session start and end indication </w:t>
      </w:r>
      <w:r w:rsidRPr="00CE7F05">
        <w:rPr>
          <w:u w:val="single"/>
          <w:lang w:val="en-US" w:eastAsia="x-none"/>
        </w:rPr>
        <w:t xml:space="preserve">only for </w:t>
      </w:r>
      <w:r w:rsidRPr="00CE7F05">
        <w:rPr>
          <w:lang w:val="en-US" w:eastAsia="x-none"/>
        </w:rPr>
        <w:t>those QoE configuration</w:t>
      </w:r>
      <w:r>
        <w:rPr>
          <w:lang w:val="en-US" w:eastAsia="x-none"/>
        </w:rPr>
        <w:t>s which require MDT-QoE alignment</w:t>
      </w:r>
    </w:p>
    <w:p w14:paraId="702CCFCB" w14:textId="48CA6C0C" w:rsidR="003F169F" w:rsidRPr="00A94195" w:rsidRDefault="003F169F" w:rsidP="003F169F">
      <w:pPr>
        <w:rPr>
          <w:lang w:eastAsia="x-none"/>
        </w:rPr>
      </w:pPr>
      <w:r w:rsidRPr="00A94195">
        <w:rPr>
          <w:lang w:eastAsia="x-none"/>
        </w:rPr>
        <w:t>In addition, we can also have a catch-all flag to</w:t>
      </w:r>
      <w:r w:rsidR="00A94195" w:rsidRPr="00A94195">
        <w:rPr>
          <w:lang w:eastAsia="x-none"/>
        </w:rPr>
        <w:t xml:space="preserve"> inform UE that session start/end indication is needed for all QoE configurations.</w:t>
      </w:r>
    </w:p>
    <w:p w14:paraId="11AFE07E" w14:textId="0761A9AF" w:rsidR="003F169F" w:rsidRPr="003F169F" w:rsidRDefault="003F169F" w:rsidP="003F169F">
      <w:pPr>
        <w:rPr>
          <w:lang w:eastAsia="x-none"/>
        </w:rPr>
      </w:pPr>
      <w:r w:rsidRPr="003F169F">
        <w:rPr>
          <w:b/>
          <w:bCs/>
          <w:lang w:eastAsia="x-none"/>
        </w:rPr>
        <w:t xml:space="preserve">Proposal </w:t>
      </w:r>
      <w:r w:rsidR="00CE7F05">
        <w:rPr>
          <w:b/>
          <w:bCs/>
          <w:lang w:eastAsia="x-none"/>
        </w:rPr>
        <w:t>2</w:t>
      </w:r>
      <w:r w:rsidRPr="003F169F">
        <w:rPr>
          <w:b/>
          <w:bCs/>
          <w:lang w:eastAsia="x-none"/>
        </w:rPr>
        <w:t>:</w:t>
      </w:r>
      <w:r w:rsidRPr="003F169F">
        <w:rPr>
          <w:lang w:eastAsia="x-none"/>
        </w:rPr>
        <w:t xml:space="preserve"> NG-RAN can include an “</w:t>
      </w:r>
      <w:r w:rsidRPr="003F169F">
        <w:rPr>
          <w:b/>
          <w:bCs/>
          <w:color w:val="0070C0"/>
          <w:u w:val="single"/>
          <w:lang w:eastAsia="x-none"/>
        </w:rPr>
        <w:t>session start/end indication needed always</w:t>
      </w:r>
      <w:r w:rsidRPr="003F169F">
        <w:rPr>
          <w:lang w:eastAsia="x-none"/>
        </w:rPr>
        <w:t xml:space="preserve">” flag in the QoE configuration sent to UE indicating </w:t>
      </w:r>
      <w:r w:rsidR="00263157">
        <w:rPr>
          <w:lang w:eastAsia="x-none"/>
        </w:rPr>
        <w:t>whether</w:t>
      </w:r>
      <w:r w:rsidRPr="003F169F">
        <w:rPr>
          <w:lang w:eastAsia="x-none"/>
        </w:rPr>
        <w:t xml:space="preserve"> UE should send QoE measurement session start and end </w:t>
      </w:r>
      <w:r w:rsidR="00A94195" w:rsidRPr="003F169F">
        <w:rPr>
          <w:lang w:eastAsia="x-none"/>
        </w:rPr>
        <w:t>indication for</w:t>
      </w:r>
      <w:r w:rsidRPr="003F169F">
        <w:rPr>
          <w:lang w:eastAsia="x-none"/>
        </w:rPr>
        <w:t xml:space="preserve"> all QoE configurations</w:t>
      </w:r>
    </w:p>
    <w:p w14:paraId="794B404E" w14:textId="53F5C8C4" w:rsidR="006C38DA" w:rsidRDefault="003F169F" w:rsidP="003F169F">
      <w:pPr>
        <w:rPr>
          <w:lang w:eastAsia="x-none"/>
        </w:rPr>
      </w:pPr>
      <w:r w:rsidRPr="003F169F">
        <w:rPr>
          <w:b/>
          <w:bCs/>
          <w:lang w:eastAsia="x-none"/>
        </w:rPr>
        <w:t xml:space="preserve">Proposal </w:t>
      </w:r>
      <w:r w:rsidR="00CE7F05">
        <w:rPr>
          <w:b/>
          <w:bCs/>
          <w:lang w:eastAsia="x-none"/>
        </w:rPr>
        <w:t>3</w:t>
      </w:r>
      <w:r w:rsidRPr="003F169F">
        <w:rPr>
          <w:b/>
          <w:bCs/>
          <w:lang w:eastAsia="x-none"/>
        </w:rPr>
        <w:t>:</w:t>
      </w:r>
      <w:r w:rsidRPr="003F169F">
        <w:rPr>
          <w:lang w:eastAsia="x-none"/>
        </w:rPr>
        <w:t xml:space="preserve"> If “</w:t>
      </w:r>
      <w:r w:rsidRPr="00D60E24">
        <w:rPr>
          <w:b/>
          <w:bCs/>
          <w:color w:val="0070C0"/>
          <w:u w:val="single"/>
          <w:lang w:eastAsia="x-none"/>
        </w:rPr>
        <w:t>session start/end indication needed always</w:t>
      </w:r>
      <w:r w:rsidRPr="003F169F">
        <w:rPr>
          <w:lang w:eastAsia="x-none"/>
        </w:rPr>
        <w:t>” flag is set, then “</w:t>
      </w:r>
      <w:r w:rsidRPr="00D60E24">
        <w:rPr>
          <w:b/>
          <w:bCs/>
          <w:color w:val="00B050"/>
          <w:u w:val="single"/>
          <w:lang w:eastAsia="x-none"/>
        </w:rPr>
        <w:t>session start/end indication needed per QoE configuration</w:t>
      </w:r>
      <w:r w:rsidRPr="003F169F">
        <w:rPr>
          <w:lang w:eastAsia="x-none"/>
        </w:rPr>
        <w:t xml:space="preserve">” is not to be included in the QoE configuration or should be ignored </w:t>
      </w:r>
      <w:r w:rsidR="00E429C0">
        <w:rPr>
          <w:lang w:eastAsia="x-none"/>
        </w:rPr>
        <w:t xml:space="preserve">by the UE </w:t>
      </w:r>
      <w:r w:rsidRPr="003F169F">
        <w:rPr>
          <w:lang w:eastAsia="x-none"/>
        </w:rPr>
        <w:t>if included due to wrong network configuration</w:t>
      </w:r>
    </w:p>
    <w:p w14:paraId="1277F0C3" w14:textId="2E5A7254" w:rsidR="00D60E24" w:rsidRPr="007B0703" w:rsidRDefault="007B0703" w:rsidP="003F169F">
      <w:pPr>
        <w:rPr>
          <w:b/>
          <w:bCs/>
          <w:u w:val="single"/>
          <w:lang w:eastAsia="x-none"/>
        </w:rPr>
      </w:pPr>
      <w:r w:rsidRPr="007B0703">
        <w:rPr>
          <w:b/>
          <w:bCs/>
          <w:u w:val="single"/>
          <w:lang w:eastAsia="x-none"/>
        </w:rPr>
        <w:t>UE behaviour</w:t>
      </w:r>
      <w:r w:rsidR="00D60E34">
        <w:rPr>
          <w:b/>
          <w:bCs/>
          <w:u w:val="single"/>
          <w:lang w:eastAsia="x-none"/>
        </w:rPr>
        <w:t xml:space="preserve"> and CT1 impacts</w:t>
      </w:r>
      <w:r w:rsidRPr="007B0703">
        <w:rPr>
          <w:b/>
          <w:bCs/>
          <w:u w:val="single"/>
          <w:lang w:eastAsia="x-none"/>
        </w:rPr>
        <w:t>:</w:t>
      </w:r>
    </w:p>
    <w:p w14:paraId="357FCB00" w14:textId="0B61F01F" w:rsidR="007B0703" w:rsidRPr="007B0703" w:rsidRDefault="007B0703" w:rsidP="007B0703">
      <w:pPr>
        <w:rPr>
          <w:lang w:val="en-US" w:eastAsia="x-none"/>
        </w:rPr>
      </w:pPr>
      <w:r w:rsidRPr="007B0703">
        <w:rPr>
          <w:b/>
          <w:bCs/>
          <w:lang w:val="en-US" w:eastAsia="x-none"/>
        </w:rPr>
        <w:t xml:space="preserve">Proposal </w:t>
      </w:r>
      <w:r w:rsidR="0013690D">
        <w:rPr>
          <w:b/>
          <w:bCs/>
          <w:lang w:val="en-US" w:eastAsia="x-none"/>
        </w:rPr>
        <w:t>4</w:t>
      </w:r>
      <w:r w:rsidRPr="007B0703">
        <w:rPr>
          <w:b/>
          <w:bCs/>
          <w:lang w:val="en-US" w:eastAsia="x-none"/>
        </w:rPr>
        <w:t xml:space="preserve">: </w:t>
      </w:r>
      <w:r w:rsidRPr="007B0703">
        <w:rPr>
          <w:lang w:val="en-US" w:eastAsia="x-none"/>
        </w:rPr>
        <w:t xml:space="preserve">UE Access Stratum (AS) should indicate either of the two flags in the QoE configuration sent to UE Application layer in the AT command +CAPPLEVMC used for delivering the QoE configuration </w:t>
      </w:r>
    </w:p>
    <w:p w14:paraId="029B83DD" w14:textId="520BA74A" w:rsidR="007B0703" w:rsidRPr="007B0703" w:rsidRDefault="007B0703" w:rsidP="00E83A5E">
      <w:pPr>
        <w:rPr>
          <w:lang w:val="en-US" w:eastAsia="x-none"/>
        </w:rPr>
      </w:pPr>
      <w:r w:rsidRPr="007B0703">
        <w:rPr>
          <w:b/>
          <w:bCs/>
          <w:lang w:val="en-US" w:eastAsia="x-none"/>
        </w:rPr>
        <w:t xml:space="preserve">Proposal </w:t>
      </w:r>
      <w:r w:rsidR="0013690D">
        <w:rPr>
          <w:b/>
          <w:bCs/>
          <w:lang w:val="en-US" w:eastAsia="x-none"/>
        </w:rPr>
        <w:t>5</w:t>
      </w:r>
      <w:r w:rsidRPr="007B0703">
        <w:rPr>
          <w:b/>
          <w:bCs/>
          <w:lang w:val="en-US" w:eastAsia="x-none"/>
        </w:rPr>
        <w:t xml:space="preserve">: </w:t>
      </w:r>
      <w:r w:rsidRPr="007B0703">
        <w:rPr>
          <w:lang w:val="en-US" w:eastAsia="x-none"/>
        </w:rPr>
        <w:t>UE Application should send the session start/indication for only those QoE configurations for which the flag “</w:t>
      </w:r>
      <w:r w:rsidRPr="007B0703">
        <w:rPr>
          <w:b/>
          <w:bCs/>
          <w:color w:val="00B050"/>
          <w:u w:val="single"/>
          <w:lang w:val="en-US" w:eastAsia="x-none"/>
        </w:rPr>
        <w:t>session start/end indication needed per QoE configuration</w:t>
      </w:r>
      <w:r w:rsidRPr="007B0703">
        <w:rPr>
          <w:lang w:val="en-US" w:eastAsia="x-none"/>
        </w:rPr>
        <w:t>” is set in the AT command +CAPPLEVMR used for delivering the QoE report</w:t>
      </w:r>
    </w:p>
    <w:p w14:paraId="231E65FE" w14:textId="1DC3C734" w:rsidR="007B0703" w:rsidRPr="007B0703" w:rsidRDefault="007B0703" w:rsidP="00E83A5E">
      <w:pPr>
        <w:rPr>
          <w:lang w:val="en-US" w:eastAsia="x-none"/>
        </w:rPr>
      </w:pPr>
      <w:r w:rsidRPr="007B0703">
        <w:rPr>
          <w:b/>
          <w:bCs/>
          <w:lang w:val="en-US" w:eastAsia="x-none"/>
        </w:rPr>
        <w:lastRenderedPageBreak/>
        <w:t xml:space="preserve">Proposal </w:t>
      </w:r>
      <w:r w:rsidR="0013690D">
        <w:rPr>
          <w:b/>
          <w:bCs/>
          <w:lang w:val="en-US" w:eastAsia="x-none"/>
        </w:rPr>
        <w:t>6</w:t>
      </w:r>
      <w:r w:rsidRPr="007B0703">
        <w:rPr>
          <w:b/>
          <w:bCs/>
          <w:lang w:val="en-US" w:eastAsia="x-none"/>
        </w:rPr>
        <w:t xml:space="preserve">: </w:t>
      </w:r>
      <w:r w:rsidRPr="007B0703">
        <w:rPr>
          <w:lang w:val="en-US" w:eastAsia="x-none"/>
        </w:rPr>
        <w:t>UE Application should send the session start/indication for all QoE configurations if the flag “</w:t>
      </w:r>
      <w:r w:rsidRPr="007B0703">
        <w:rPr>
          <w:b/>
          <w:bCs/>
          <w:color w:val="0070C0"/>
          <w:u w:val="single"/>
          <w:lang w:val="en-US" w:eastAsia="x-none"/>
        </w:rPr>
        <w:t>session start/end indication needed always</w:t>
      </w:r>
      <w:r w:rsidRPr="007B0703">
        <w:rPr>
          <w:lang w:val="en-US" w:eastAsia="x-none"/>
        </w:rPr>
        <w:t>” is set in the AT command +CAPPLEVMR used for delivering the QoE report</w:t>
      </w:r>
    </w:p>
    <w:p w14:paraId="7EFA0A04" w14:textId="5703CB74" w:rsidR="00D3278E" w:rsidRDefault="00AA7C1B" w:rsidP="00FF65C5">
      <w:pPr>
        <w:pStyle w:val="Heading2"/>
        <w:numPr>
          <w:ilvl w:val="1"/>
          <w:numId w:val="2"/>
        </w:numPr>
        <w:tabs>
          <w:tab w:val="left" w:pos="720"/>
        </w:tabs>
      </w:pPr>
      <w:r>
        <w:t>MDT-QoE alignment in split gNB architecture</w:t>
      </w:r>
    </w:p>
    <w:p w14:paraId="084E506C" w14:textId="0E893CAC" w:rsidR="00C31A79" w:rsidRPr="00C31A79" w:rsidRDefault="00C31A79" w:rsidP="00C31A79">
      <w:pPr>
        <w:rPr>
          <w:lang w:eastAsia="x-none"/>
        </w:rPr>
      </w:pPr>
      <w:r w:rsidRPr="00C31A79">
        <w:rPr>
          <w:lang w:eastAsia="x-none"/>
        </w:rPr>
        <w:t>Regarding MDT-QoE alignment in split architecture,</w:t>
      </w:r>
      <w:r>
        <w:rPr>
          <w:lang w:eastAsia="x-none"/>
        </w:rPr>
        <w:t xml:space="preserve"> the following 2 options are possible:</w:t>
      </w:r>
    </w:p>
    <w:p w14:paraId="655A36EC" w14:textId="3F6FE91F" w:rsidR="00AA7C1B" w:rsidRDefault="00C31A79" w:rsidP="00C31A79">
      <w:pPr>
        <w:rPr>
          <w:lang w:eastAsia="x-none"/>
        </w:rPr>
      </w:pPr>
      <w:r w:rsidRPr="005D38F7">
        <w:rPr>
          <w:b/>
          <w:bCs/>
          <w:lang w:eastAsia="x-none"/>
        </w:rPr>
        <w:t>Option 1:</w:t>
      </w:r>
      <w:r w:rsidRPr="00C31A79">
        <w:rPr>
          <w:lang w:eastAsia="x-none"/>
        </w:rPr>
        <w:t xml:space="preserve"> Has E1/F1 spec impacts. gNB-CU-CP can send the MCE address of the QoE configuration to gNB-DU and gNB-CU-UP so that it can forward the correlated MDT reports to the MCE</w:t>
      </w:r>
    </w:p>
    <w:p w14:paraId="5B7654C3" w14:textId="5677BD87" w:rsidR="00527841" w:rsidRDefault="005D38F7" w:rsidP="00AA7C1B">
      <w:pPr>
        <w:rPr>
          <w:lang w:eastAsia="x-none"/>
        </w:rPr>
      </w:pPr>
      <w:r w:rsidRPr="005D38F7">
        <w:rPr>
          <w:noProof/>
          <w:lang w:eastAsia="x-none"/>
        </w:rPr>
        <w:drawing>
          <wp:inline distT="0" distB="0" distL="0" distR="0" wp14:anchorId="4AAEC9F2" wp14:editId="05EB5606">
            <wp:extent cx="5943600" cy="2475230"/>
            <wp:effectExtent l="0" t="0" r="0" b="127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C8FB534D-D0B0-4196-80B8-96E66ED7FD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C8FB534D-D0B0-4196-80B8-96E66ED7FDD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08210" w14:textId="5111F0D9" w:rsidR="00C31A79" w:rsidRDefault="005D38F7" w:rsidP="00AA7C1B">
      <w:pPr>
        <w:rPr>
          <w:lang w:eastAsia="x-none"/>
        </w:rPr>
      </w:pPr>
      <w:r w:rsidRPr="005D38F7">
        <w:rPr>
          <w:b/>
          <w:bCs/>
          <w:lang w:eastAsia="x-none"/>
        </w:rPr>
        <w:t>Option 2:</w:t>
      </w:r>
      <w:r w:rsidRPr="005D38F7">
        <w:rPr>
          <w:lang w:eastAsia="x-none"/>
        </w:rPr>
        <w:t xml:space="preserve"> OAM should make sure that the MCE and TCE have the same IP address for the correlated QoE-MDT configurations. OAM can still configure different IP address for the MCE and TCE for the non-correlated QoE-MDT configurations</w:t>
      </w:r>
    </w:p>
    <w:p w14:paraId="6F4E96F3" w14:textId="500874AC" w:rsidR="00C31A79" w:rsidRDefault="005D38F7" w:rsidP="00AA7C1B">
      <w:pPr>
        <w:rPr>
          <w:lang w:eastAsia="x-none"/>
        </w:rPr>
      </w:pPr>
      <w:r>
        <w:rPr>
          <w:lang w:eastAsia="x-none"/>
        </w:rPr>
        <w:t>W</w:t>
      </w:r>
      <w:r w:rsidR="00C31A79" w:rsidRPr="00C31A79">
        <w:rPr>
          <w:lang w:eastAsia="x-none"/>
        </w:rPr>
        <w:t>e slightly prefer Option 2 because of limited spec impact</w:t>
      </w:r>
      <w:r>
        <w:rPr>
          <w:lang w:eastAsia="x-none"/>
        </w:rPr>
        <w:t>.</w:t>
      </w:r>
    </w:p>
    <w:p w14:paraId="6F70C884" w14:textId="5E308954" w:rsidR="005D38F7" w:rsidRPr="00AA7C1B" w:rsidRDefault="005D38F7" w:rsidP="00AA7C1B">
      <w:pPr>
        <w:rPr>
          <w:lang w:eastAsia="x-none"/>
        </w:rPr>
      </w:pPr>
      <w:r w:rsidRPr="005D38F7">
        <w:rPr>
          <w:b/>
          <w:bCs/>
          <w:lang w:eastAsia="x-none"/>
        </w:rPr>
        <w:t>Proposal</w:t>
      </w:r>
      <w:r w:rsidR="0013690D">
        <w:rPr>
          <w:b/>
          <w:bCs/>
          <w:lang w:eastAsia="x-none"/>
        </w:rPr>
        <w:t xml:space="preserve"> 7</w:t>
      </w:r>
      <w:r w:rsidRPr="005D38F7"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Pr="005D38F7">
        <w:rPr>
          <w:lang w:eastAsia="x-none"/>
        </w:rPr>
        <w:t>OAM should make sure that the MCE and TCE have the same IP address for the correlated QoE-MDT configurations. OAM can still configure different IP address for the MCE and TCE for the non-correlated QoE-MDT configurations</w:t>
      </w:r>
    </w:p>
    <w:p w14:paraId="1D12C81A" w14:textId="571D349D" w:rsidR="00AA7C1B" w:rsidRDefault="00AA7C1B" w:rsidP="00AA7C1B">
      <w:pPr>
        <w:pStyle w:val="Heading2"/>
        <w:numPr>
          <w:ilvl w:val="1"/>
          <w:numId w:val="2"/>
        </w:numPr>
        <w:tabs>
          <w:tab w:val="left" w:pos="720"/>
        </w:tabs>
      </w:pPr>
      <w:r>
        <w:t>Alignment between s-based QoE and m-based MDT</w:t>
      </w:r>
    </w:p>
    <w:p w14:paraId="65F11494" w14:textId="364E9AD9" w:rsidR="002A1718" w:rsidRPr="002A1718" w:rsidRDefault="002A1718" w:rsidP="002A1718">
      <w:pPr>
        <w:rPr>
          <w:lang w:eastAsia="x-none"/>
        </w:rPr>
      </w:pPr>
      <w:r>
        <w:rPr>
          <w:lang w:eastAsia="x-none"/>
        </w:rPr>
        <w:t>Following two options were proposed regarding the</w:t>
      </w:r>
      <w:r w:rsidRPr="002A1718">
        <w:rPr>
          <w:lang w:eastAsia="x-none"/>
        </w:rPr>
        <w:t xml:space="preserve"> alignment between s-based QoE and m-based MDT</w:t>
      </w:r>
      <w:r>
        <w:rPr>
          <w:lang w:eastAsia="x-none"/>
        </w:rPr>
        <w:t>:</w:t>
      </w:r>
    </w:p>
    <w:p w14:paraId="6CAF6813" w14:textId="7928749D" w:rsidR="002A1718" w:rsidRPr="002A1718" w:rsidRDefault="002A1718" w:rsidP="002A1718">
      <w:pPr>
        <w:pStyle w:val="ListParagraph"/>
        <w:numPr>
          <w:ilvl w:val="0"/>
          <w:numId w:val="30"/>
        </w:numPr>
        <w:rPr>
          <w:lang w:eastAsia="x-none"/>
        </w:rPr>
      </w:pPr>
      <w:r w:rsidRPr="002A1718">
        <w:rPr>
          <w:b/>
          <w:bCs/>
          <w:lang w:eastAsia="x-none"/>
        </w:rPr>
        <w:t>Option 1:</w:t>
      </w:r>
      <w:r w:rsidRPr="002A1718">
        <w:rPr>
          <w:lang w:eastAsia="x-none"/>
        </w:rPr>
        <w:t xml:space="preserve"> Configuring an m-based MDT measurement in the same area where an s-based QoE measurement is configured for the UE and asking the RAN node to align the s-based QoE measurement and m-based MDT measurement.  </w:t>
      </w:r>
    </w:p>
    <w:p w14:paraId="203899D7" w14:textId="7986580A" w:rsidR="002A1718" w:rsidRPr="002A1718" w:rsidRDefault="002A1718" w:rsidP="002A1718">
      <w:pPr>
        <w:pStyle w:val="ListParagraph"/>
        <w:numPr>
          <w:ilvl w:val="0"/>
          <w:numId w:val="30"/>
        </w:numPr>
        <w:rPr>
          <w:lang w:eastAsia="x-none"/>
        </w:rPr>
      </w:pPr>
      <w:r w:rsidRPr="002A1718">
        <w:rPr>
          <w:b/>
          <w:bCs/>
          <w:lang w:eastAsia="x-none"/>
        </w:rPr>
        <w:t xml:space="preserve">Option 2: </w:t>
      </w:r>
      <w:r w:rsidRPr="002A1718">
        <w:rPr>
          <w:lang w:eastAsia="x-none"/>
        </w:rPr>
        <w:t>Requesting the RAN node (as part of s-based QoE configuration) to opportunistically align the s-based QoE measurement with any available MDT measurement for the UE.</w:t>
      </w:r>
    </w:p>
    <w:p w14:paraId="16784F11" w14:textId="3AD58177" w:rsidR="00AA7C1B" w:rsidRDefault="002A1718" w:rsidP="002A1718">
      <w:pPr>
        <w:pStyle w:val="ListParagraph"/>
        <w:numPr>
          <w:ilvl w:val="1"/>
          <w:numId w:val="30"/>
        </w:numPr>
        <w:rPr>
          <w:lang w:eastAsia="x-none"/>
        </w:rPr>
      </w:pPr>
      <w:r w:rsidRPr="002A1718">
        <w:rPr>
          <w:lang w:eastAsia="x-none"/>
        </w:rPr>
        <w:t>Benefit: OAM need not send any correlated MDT config to the UE, one of the MDT configs already received by the RAN can be used.</w:t>
      </w:r>
    </w:p>
    <w:tbl>
      <w:tblPr>
        <w:tblStyle w:val="TableGrid"/>
        <w:tblW w:w="10101" w:type="dxa"/>
        <w:tblLook w:val="04A0" w:firstRow="1" w:lastRow="0" w:firstColumn="1" w:lastColumn="0" w:noHBand="0" w:noVBand="1"/>
      </w:tblPr>
      <w:tblGrid>
        <w:gridCol w:w="2536"/>
        <w:gridCol w:w="394"/>
        <w:gridCol w:w="446"/>
        <w:gridCol w:w="1386"/>
        <w:gridCol w:w="5339"/>
      </w:tblGrid>
      <w:tr w:rsidR="00ED5C74" w:rsidRPr="00ED5C74" w14:paraId="140602DB" w14:textId="77777777" w:rsidTr="0044037D">
        <w:trPr>
          <w:trHeight w:val="374"/>
        </w:trPr>
        <w:tc>
          <w:tcPr>
            <w:tcW w:w="2568" w:type="dxa"/>
            <w:hideMark/>
          </w:tcPr>
          <w:p w14:paraId="1851E90A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CHOICE MDT Alignment Information</w:t>
            </w:r>
          </w:p>
        </w:tc>
        <w:tc>
          <w:tcPr>
            <w:tcW w:w="236" w:type="dxa"/>
            <w:hideMark/>
          </w:tcPr>
          <w:p w14:paraId="1965E260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O</w:t>
            </w:r>
          </w:p>
        </w:tc>
        <w:tc>
          <w:tcPr>
            <w:tcW w:w="451" w:type="dxa"/>
            <w:hideMark/>
          </w:tcPr>
          <w:p w14:paraId="74AA4A20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 </w:t>
            </w:r>
          </w:p>
        </w:tc>
        <w:tc>
          <w:tcPr>
            <w:tcW w:w="1397" w:type="dxa"/>
            <w:hideMark/>
          </w:tcPr>
          <w:p w14:paraId="43EA91E1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 </w:t>
            </w:r>
          </w:p>
        </w:tc>
        <w:tc>
          <w:tcPr>
            <w:tcW w:w="5449" w:type="dxa"/>
            <w:hideMark/>
          </w:tcPr>
          <w:p w14:paraId="18EB4014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Indicates the MDT measurements with which alignment is required.</w:t>
            </w:r>
          </w:p>
        </w:tc>
      </w:tr>
      <w:tr w:rsidR="00ED5C74" w:rsidRPr="00ED5C74" w14:paraId="58C57E15" w14:textId="77777777" w:rsidTr="0044037D">
        <w:trPr>
          <w:trHeight w:val="505"/>
        </w:trPr>
        <w:tc>
          <w:tcPr>
            <w:tcW w:w="2568" w:type="dxa"/>
            <w:hideMark/>
          </w:tcPr>
          <w:p w14:paraId="45A838E4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&gt;S-based MDT</w:t>
            </w:r>
          </w:p>
        </w:tc>
        <w:tc>
          <w:tcPr>
            <w:tcW w:w="236" w:type="dxa"/>
            <w:hideMark/>
          </w:tcPr>
          <w:p w14:paraId="619B588B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451" w:type="dxa"/>
            <w:hideMark/>
          </w:tcPr>
          <w:p w14:paraId="1FA0C4E8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1397" w:type="dxa"/>
            <w:hideMark/>
          </w:tcPr>
          <w:p w14:paraId="75AECE25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5449" w:type="dxa"/>
            <w:hideMark/>
          </w:tcPr>
          <w:p w14:paraId="4E2767CA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</w:tr>
      <w:tr w:rsidR="00ED5C74" w:rsidRPr="00ED5C74" w14:paraId="2FE73ECB" w14:textId="77777777" w:rsidTr="0044037D">
        <w:trPr>
          <w:trHeight w:val="623"/>
        </w:trPr>
        <w:tc>
          <w:tcPr>
            <w:tcW w:w="2568" w:type="dxa"/>
            <w:hideMark/>
          </w:tcPr>
          <w:p w14:paraId="2B82D355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lastRenderedPageBreak/>
              <w:t>&gt;&gt;NG-RAN Trace ID</w:t>
            </w:r>
          </w:p>
        </w:tc>
        <w:tc>
          <w:tcPr>
            <w:tcW w:w="236" w:type="dxa"/>
            <w:hideMark/>
          </w:tcPr>
          <w:p w14:paraId="54F22657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M</w:t>
            </w:r>
          </w:p>
        </w:tc>
        <w:tc>
          <w:tcPr>
            <w:tcW w:w="451" w:type="dxa"/>
            <w:hideMark/>
          </w:tcPr>
          <w:p w14:paraId="68B5B5DD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1397" w:type="dxa"/>
            <w:hideMark/>
          </w:tcPr>
          <w:p w14:paraId="1E0ECC75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OCTET STRING (SIZE(8))</w:t>
            </w:r>
          </w:p>
        </w:tc>
        <w:tc>
          <w:tcPr>
            <w:tcW w:w="5449" w:type="dxa"/>
            <w:hideMark/>
          </w:tcPr>
          <w:p w14:paraId="38C670EE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This IE is composed of the following: Trace Reference defined in TS 32.422 [11] (leftmost 6 octets, with PLMN information encoded as in 9.3.3.1), and Trace Recording Session Reference defined in TS 32.422 [11] (last 2 octets).</w:t>
            </w:r>
          </w:p>
        </w:tc>
      </w:tr>
      <w:tr w:rsidR="00ED5C74" w:rsidRPr="00ED5C74" w14:paraId="0B42A943" w14:textId="77777777" w:rsidTr="0044037D">
        <w:trPr>
          <w:trHeight w:val="505"/>
        </w:trPr>
        <w:tc>
          <w:tcPr>
            <w:tcW w:w="2568" w:type="dxa"/>
            <w:hideMark/>
          </w:tcPr>
          <w:p w14:paraId="5560AD8A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&gt;M-based MDT</w:t>
            </w:r>
          </w:p>
        </w:tc>
        <w:tc>
          <w:tcPr>
            <w:tcW w:w="236" w:type="dxa"/>
            <w:hideMark/>
          </w:tcPr>
          <w:p w14:paraId="78EE5F05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451" w:type="dxa"/>
            <w:hideMark/>
          </w:tcPr>
          <w:p w14:paraId="6BC0457D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1397" w:type="dxa"/>
            <w:hideMark/>
          </w:tcPr>
          <w:p w14:paraId="4A36C438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5449" w:type="dxa"/>
            <w:hideMark/>
          </w:tcPr>
          <w:p w14:paraId="32128345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</w:tr>
      <w:tr w:rsidR="00ED5C74" w:rsidRPr="00ED5C74" w14:paraId="0D6C789F" w14:textId="77777777" w:rsidTr="0044037D">
        <w:trPr>
          <w:trHeight w:val="374"/>
        </w:trPr>
        <w:tc>
          <w:tcPr>
            <w:tcW w:w="2568" w:type="dxa"/>
            <w:hideMark/>
          </w:tcPr>
          <w:p w14:paraId="176435DA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b/>
                <w:bCs/>
                <w:lang w:eastAsia="x-none"/>
              </w:rPr>
              <w:t>&gt;&gt;Trace Reference</w:t>
            </w:r>
          </w:p>
        </w:tc>
        <w:tc>
          <w:tcPr>
            <w:tcW w:w="236" w:type="dxa"/>
            <w:hideMark/>
          </w:tcPr>
          <w:p w14:paraId="7A729CBF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M</w:t>
            </w:r>
          </w:p>
        </w:tc>
        <w:tc>
          <w:tcPr>
            <w:tcW w:w="451" w:type="dxa"/>
            <w:hideMark/>
          </w:tcPr>
          <w:p w14:paraId="19F44034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 </w:t>
            </w:r>
          </w:p>
        </w:tc>
        <w:tc>
          <w:tcPr>
            <w:tcW w:w="1397" w:type="dxa"/>
            <w:hideMark/>
          </w:tcPr>
          <w:p w14:paraId="4A4FC542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eastAsia="x-none"/>
              </w:rPr>
              <w:t>OCTET STRING (SIZE(6))</w:t>
            </w:r>
          </w:p>
        </w:tc>
        <w:tc>
          <w:tcPr>
            <w:tcW w:w="5449" w:type="dxa"/>
            <w:hideMark/>
          </w:tcPr>
          <w:p w14:paraId="714F61EB" w14:textId="77777777" w:rsidR="00ED5C74" w:rsidRPr="00ED5C74" w:rsidRDefault="00ED5C74" w:rsidP="00ED5C74">
            <w:pPr>
              <w:rPr>
                <w:lang w:val="en-US" w:eastAsia="x-none"/>
              </w:rPr>
            </w:pPr>
            <w:r w:rsidRPr="00ED5C74">
              <w:rPr>
                <w:lang w:val="en-US" w:eastAsia="x-none"/>
              </w:rPr>
              <w:t xml:space="preserve">Trace Reference defined in TS 32.422 [11]. </w:t>
            </w:r>
          </w:p>
        </w:tc>
      </w:tr>
      <w:tr w:rsidR="00ED5C74" w:rsidRPr="00ED5C74" w14:paraId="0D4D6598" w14:textId="77777777" w:rsidTr="0044037D">
        <w:trPr>
          <w:trHeight w:val="505"/>
        </w:trPr>
        <w:tc>
          <w:tcPr>
            <w:tcW w:w="2568" w:type="dxa"/>
            <w:hideMark/>
          </w:tcPr>
          <w:p w14:paraId="155C362B" w14:textId="77777777" w:rsidR="00ED5C74" w:rsidRPr="00ED5C74" w:rsidRDefault="00ED5C74" w:rsidP="00ED5C74">
            <w:pPr>
              <w:rPr>
                <w:highlight w:val="yellow"/>
                <w:lang w:val="en-US" w:eastAsia="x-none"/>
              </w:rPr>
            </w:pPr>
            <w:r w:rsidRPr="00ED5C74">
              <w:rPr>
                <w:b/>
                <w:bCs/>
                <w:highlight w:val="yellow"/>
                <w:u w:val="single"/>
                <w:lang w:eastAsia="x-none"/>
              </w:rPr>
              <w:t>&gt;Any MDT Measurement</w:t>
            </w:r>
          </w:p>
        </w:tc>
        <w:tc>
          <w:tcPr>
            <w:tcW w:w="236" w:type="dxa"/>
            <w:hideMark/>
          </w:tcPr>
          <w:p w14:paraId="0D96D143" w14:textId="77777777" w:rsidR="00ED5C74" w:rsidRPr="00ED5C74" w:rsidRDefault="00ED5C74" w:rsidP="00ED5C74">
            <w:pPr>
              <w:rPr>
                <w:highlight w:val="yellow"/>
                <w:lang w:val="en-US" w:eastAsia="x-none"/>
              </w:rPr>
            </w:pPr>
            <w:r w:rsidRPr="00ED5C74">
              <w:rPr>
                <w:highlight w:val="yellow"/>
                <w:u w:val="single"/>
                <w:lang w:eastAsia="x-none"/>
              </w:rPr>
              <w:t> </w:t>
            </w:r>
          </w:p>
        </w:tc>
        <w:tc>
          <w:tcPr>
            <w:tcW w:w="451" w:type="dxa"/>
            <w:hideMark/>
          </w:tcPr>
          <w:p w14:paraId="6DE6AF4F" w14:textId="77777777" w:rsidR="00ED5C74" w:rsidRPr="00ED5C74" w:rsidRDefault="00ED5C74" w:rsidP="00ED5C74">
            <w:pPr>
              <w:rPr>
                <w:highlight w:val="yellow"/>
                <w:lang w:val="en-US" w:eastAsia="x-none"/>
              </w:rPr>
            </w:pPr>
            <w:r w:rsidRPr="00ED5C74">
              <w:rPr>
                <w:highlight w:val="yellow"/>
                <w:u w:val="single"/>
                <w:lang w:eastAsia="x-none"/>
              </w:rPr>
              <w:t> </w:t>
            </w:r>
          </w:p>
        </w:tc>
        <w:tc>
          <w:tcPr>
            <w:tcW w:w="1397" w:type="dxa"/>
            <w:hideMark/>
          </w:tcPr>
          <w:p w14:paraId="45E05DD7" w14:textId="77777777" w:rsidR="00ED5C74" w:rsidRPr="00ED5C74" w:rsidRDefault="00ED5C74" w:rsidP="00ED5C74">
            <w:pPr>
              <w:rPr>
                <w:highlight w:val="yellow"/>
                <w:lang w:val="en-US" w:eastAsia="x-none"/>
              </w:rPr>
            </w:pPr>
            <w:r w:rsidRPr="00ED5C74">
              <w:rPr>
                <w:highlight w:val="yellow"/>
                <w:u w:val="single"/>
                <w:lang w:eastAsia="x-none"/>
              </w:rPr>
              <w:t> </w:t>
            </w:r>
          </w:p>
        </w:tc>
        <w:tc>
          <w:tcPr>
            <w:tcW w:w="5449" w:type="dxa"/>
            <w:hideMark/>
          </w:tcPr>
          <w:p w14:paraId="4B7CC990" w14:textId="77777777" w:rsidR="00ED5C74" w:rsidRPr="00ED5C74" w:rsidRDefault="00ED5C74" w:rsidP="00ED5C74">
            <w:pPr>
              <w:rPr>
                <w:highlight w:val="yellow"/>
                <w:lang w:val="en-US" w:eastAsia="x-none"/>
              </w:rPr>
            </w:pPr>
            <w:r w:rsidRPr="00ED5C74">
              <w:rPr>
                <w:highlight w:val="yellow"/>
                <w:u w:val="single"/>
                <w:lang w:val="en-US" w:eastAsia="x-none"/>
              </w:rPr>
              <w:t>This option is present only in the case of s-based QoE measurement.</w:t>
            </w:r>
          </w:p>
        </w:tc>
      </w:tr>
    </w:tbl>
    <w:p w14:paraId="2BD47691" w14:textId="781EB43E" w:rsidR="002A1718" w:rsidRDefault="002A1718" w:rsidP="002A1718">
      <w:pPr>
        <w:rPr>
          <w:lang w:eastAsia="x-none"/>
        </w:rPr>
      </w:pPr>
    </w:p>
    <w:p w14:paraId="4CF5B8B1" w14:textId="3699CEF1" w:rsidR="0057205E" w:rsidRDefault="0057205E" w:rsidP="002A1718">
      <w:pPr>
        <w:rPr>
          <w:lang w:eastAsia="x-none"/>
        </w:rPr>
      </w:pPr>
      <w:r>
        <w:rPr>
          <w:lang w:eastAsia="x-none"/>
        </w:rPr>
        <w:t>We think Option 1 is sufficient and Option 2 is not necessary and just an</w:t>
      </w:r>
      <w:r w:rsidR="00FB638E">
        <w:rPr>
          <w:lang w:eastAsia="x-none"/>
        </w:rPr>
        <w:t xml:space="preserve"> optimization to opportunistically align with any available MDT.</w:t>
      </w:r>
    </w:p>
    <w:p w14:paraId="45A4C23A" w14:textId="28D369F7" w:rsidR="00FB638E" w:rsidRDefault="00FB638E" w:rsidP="002A1718">
      <w:pPr>
        <w:rPr>
          <w:lang w:eastAsia="x-none"/>
        </w:rPr>
      </w:pPr>
      <w:r w:rsidRPr="007B2AB4">
        <w:rPr>
          <w:b/>
          <w:bCs/>
          <w:lang w:eastAsia="x-none"/>
        </w:rPr>
        <w:t>Proposal</w:t>
      </w:r>
      <w:r w:rsidR="00605D48">
        <w:rPr>
          <w:b/>
          <w:bCs/>
          <w:lang w:eastAsia="x-none"/>
        </w:rPr>
        <w:t xml:space="preserve"> 8</w:t>
      </w:r>
      <w:r>
        <w:rPr>
          <w:lang w:eastAsia="x-none"/>
        </w:rPr>
        <w:t xml:space="preserve">: Alignment between s-based QoE and m-based MDT can be supported </w:t>
      </w:r>
      <w:r w:rsidR="007B2AB4">
        <w:rPr>
          <w:lang w:eastAsia="x-none"/>
        </w:rPr>
        <w:t>by c</w:t>
      </w:r>
      <w:r w:rsidR="007B2AB4" w:rsidRPr="007B2AB4">
        <w:rPr>
          <w:lang w:eastAsia="x-none"/>
        </w:rPr>
        <w:t>onfiguring an m-based MDT measurement in the same area where an s-based QoE measurement is configured for the UE</w:t>
      </w:r>
    </w:p>
    <w:p w14:paraId="6404AEB3" w14:textId="77777777" w:rsidR="0057205E" w:rsidRDefault="0057205E" w:rsidP="002A1718">
      <w:pPr>
        <w:rPr>
          <w:lang w:eastAsia="x-none"/>
        </w:rPr>
      </w:pPr>
    </w:p>
    <w:p w14:paraId="1DA441E2" w14:textId="436E7267" w:rsidR="00AA7C1B" w:rsidRDefault="00AA7C1B" w:rsidP="004C5DBF">
      <w:pPr>
        <w:pStyle w:val="Heading2"/>
        <w:numPr>
          <w:ilvl w:val="1"/>
          <w:numId w:val="2"/>
        </w:numPr>
        <w:tabs>
          <w:tab w:val="left" w:pos="720"/>
        </w:tabs>
      </w:pPr>
      <w:r>
        <w:t>S</w:t>
      </w:r>
      <w:r w:rsidRPr="00AA7C1B">
        <w:t>cenario where QoE measurement session span across multiple gNBs configured with m-based MDT with different Trace Reference</w:t>
      </w:r>
    </w:p>
    <w:p w14:paraId="7F27B953" w14:textId="16FCFF7F" w:rsidR="00AA7C1B" w:rsidRDefault="00CE6E35" w:rsidP="00AA7C1B">
      <w:pPr>
        <w:rPr>
          <w:lang w:eastAsia="x-none"/>
        </w:rPr>
      </w:pPr>
      <w:r w:rsidRPr="00CE6E35">
        <w:rPr>
          <w:noProof/>
          <w:lang w:eastAsia="x-none"/>
        </w:rPr>
        <w:drawing>
          <wp:inline distT="0" distB="0" distL="0" distR="0" wp14:anchorId="34626F34" wp14:editId="3F50F2EF">
            <wp:extent cx="4847468" cy="2525070"/>
            <wp:effectExtent l="0" t="0" r="0" b="889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4F6E708E-93C4-47ED-9A87-8B15CB08A4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4F6E708E-93C4-47ED-9A87-8B15CB08A4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7468" cy="252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26390" w14:textId="223EB687" w:rsidR="00CE6E35" w:rsidRDefault="00CE6E35" w:rsidP="00F017C3">
      <w:pPr>
        <w:rPr>
          <w:lang w:eastAsia="x-none"/>
        </w:rPr>
      </w:pPr>
    </w:p>
    <w:p w14:paraId="5AEBB3BF" w14:textId="56E106AE" w:rsidR="00E41068" w:rsidRPr="00E41068" w:rsidRDefault="00E41068" w:rsidP="00E41068">
      <w:pPr>
        <w:rPr>
          <w:lang w:eastAsia="x-none"/>
        </w:rPr>
      </w:pPr>
      <w:r w:rsidRPr="00E41068">
        <w:rPr>
          <w:b/>
          <w:bCs/>
          <w:lang w:eastAsia="x-none"/>
        </w:rPr>
        <w:t>Observation</w:t>
      </w:r>
      <w:r w:rsidR="00995E09">
        <w:rPr>
          <w:b/>
          <w:bCs/>
          <w:lang w:eastAsia="x-none"/>
        </w:rPr>
        <w:t xml:space="preserve"> </w:t>
      </w:r>
      <w:r w:rsidR="005E7F37">
        <w:rPr>
          <w:b/>
          <w:bCs/>
          <w:lang w:eastAsia="x-none"/>
        </w:rPr>
        <w:t>2</w:t>
      </w:r>
      <w:r w:rsidRPr="00E41068">
        <w:rPr>
          <w:lang w:eastAsia="x-none"/>
        </w:rPr>
        <w:t xml:space="preserve">: </w:t>
      </w:r>
      <w:r>
        <w:rPr>
          <w:lang w:eastAsia="x-none"/>
        </w:rPr>
        <w:t>It is true that t</w:t>
      </w:r>
      <w:r w:rsidRPr="00E41068">
        <w:rPr>
          <w:lang w:eastAsia="x-none"/>
        </w:rPr>
        <w:t xml:space="preserve">here is no requirement today to ensure that an incoming UE (handover from another </w:t>
      </w:r>
      <w:r w:rsidR="00FD2216">
        <w:rPr>
          <w:lang w:eastAsia="x-none"/>
        </w:rPr>
        <w:t>NG-RAN</w:t>
      </w:r>
      <w:r w:rsidRPr="00E41068">
        <w:rPr>
          <w:lang w:eastAsia="x-none"/>
        </w:rPr>
        <w:t>) is selected for m-based MDT, but such a scenario is possible for some UEs</w:t>
      </w:r>
    </w:p>
    <w:p w14:paraId="19307172" w14:textId="429E98D3" w:rsidR="00F017C3" w:rsidRPr="00F017C3" w:rsidRDefault="00F017C3" w:rsidP="00F017C3">
      <w:pPr>
        <w:tabs>
          <w:tab w:val="num" w:pos="1440"/>
        </w:tabs>
        <w:rPr>
          <w:lang w:val="en-US" w:eastAsia="x-none"/>
        </w:rPr>
      </w:pPr>
      <w:r w:rsidRPr="00F017C3">
        <w:rPr>
          <w:b/>
          <w:bCs/>
          <w:lang w:val="en-US" w:eastAsia="x-none"/>
        </w:rPr>
        <w:t>Proposal</w:t>
      </w:r>
      <w:r w:rsidR="00995E09">
        <w:rPr>
          <w:b/>
          <w:bCs/>
          <w:lang w:val="en-US" w:eastAsia="x-none"/>
        </w:rPr>
        <w:t xml:space="preserve"> 9</w:t>
      </w:r>
      <w:r w:rsidRPr="00F017C3">
        <w:rPr>
          <w:lang w:val="en-US" w:eastAsia="x-none"/>
        </w:rPr>
        <w:t>: The scenario where a QoE measurement session span across multiple gNBs configured with different m-based MDT configurations and correlated with the QoE session is possible</w:t>
      </w:r>
      <w:r>
        <w:rPr>
          <w:lang w:val="en-US" w:eastAsia="x-none"/>
        </w:rPr>
        <w:t xml:space="preserve"> (e.g., </w:t>
      </w:r>
      <w:r w:rsidRPr="00F017C3">
        <w:rPr>
          <w:lang w:val="en-US" w:eastAsia="x-none"/>
        </w:rPr>
        <w:t>QoE Ref 1 - Trace Ref 1</w:t>
      </w:r>
      <w:r>
        <w:rPr>
          <w:lang w:val="en-US" w:eastAsia="x-none"/>
        </w:rPr>
        <w:t xml:space="preserve">, </w:t>
      </w:r>
      <w:r w:rsidRPr="00F017C3">
        <w:rPr>
          <w:lang w:val="en-US" w:eastAsia="x-none"/>
        </w:rPr>
        <w:t>QoE Ref 1 - Trace Ref 2</w:t>
      </w:r>
      <w:r>
        <w:rPr>
          <w:lang w:val="en-US" w:eastAsia="x-none"/>
        </w:rPr>
        <w:t xml:space="preserve">, </w:t>
      </w:r>
      <w:r w:rsidRPr="00F017C3">
        <w:rPr>
          <w:lang w:val="en-US" w:eastAsia="x-none"/>
        </w:rPr>
        <w:t>QoE Ref 1 - Trace Ref 3</w:t>
      </w:r>
      <w:r>
        <w:rPr>
          <w:lang w:val="en-US" w:eastAsia="x-none"/>
        </w:rPr>
        <w:t>)</w:t>
      </w:r>
    </w:p>
    <w:p w14:paraId="34F9590A" w14:textId="1BF42318" w:rsidR="00E41068" w:rsidRPr="00E41068" w:rsidRDefault="00E41068" w:rsidP="00E41068">
      <w:pPr>
        <w:rPr>
          <w:lang w:eastAsia="x-none"/>
        </w:rPr>
      </w:pPr>
      <w:r w:rsidRPr="00E41068">
        <w:rPr>
          <w:lang w:eastAsia="x-none"/>
        </w:rPr>
        <w:t>To support the above scenario, 2 options are possible:</w:t>
      </w:r>
    </w:p>
    <w:p w14:paraId="5CD9AE78" w14:textId="77777777" w:rsidR="00E41068" w:rsidRPr="00E41068" w:rsidRDefault="00E41068" w:rsidP="00FD2216">
      <w:pPr>
        <w:pStyle w:val="ListParagraph"/>
        <w:numPr>
          <w:ilvl w:val="0"/>
          <w:numId w:val="32"/>
        </w:numPr>
        <w:rPr>
          <w:lang w:eastAsia="x-none"/>
        </w:rPr>
      </w:pPr>
      <w:r w:rsidRPr="00E41068">
        <w:rPr>
          <w:lang w:eastAsia="x-none"/>
        </w:rPr>
        <w:lastRenderedPageBreak/>
        <w:t>Option 1: Include QoE reference in MDT report</w:t>
      </w:r>
    </w:p>
    <w:p w14:paraId="5AED149C" w14:textId="26ADC3F3" w:rsidR="00CE6E35" w:rsidRDefault="00E41068" w:rsidP="00FD2216">
      <w:pPr>
        <w:pStyle w:val="ListParagraph"/>
        <w:numPr>
          <w:ilvl w:val="0"/>
          <w:numId w:val="32"/>
        </w:numPr>
        <w:rPr>
          <w:lang w:eastAsia="x-none"/>
        </w:rPr>
      </w:pPr>
      <w:r w:rsidRPr="00E41068">
        <w:rPr>
          <w:lang w:eastAsia="x-none"/>
        </w:rPr>
        <w:t>Option 2</w:t>
      </w:r>
      <w:r w:rsidR="00FD2216">
        <w:rPr>
          <w:lang w:eastAsia="x-none"/>
        </w:rPr>
        <w:t xml:space="preserve">: </w:t>
      </w:r>
      <w:r w:rsidRPr="00E41068">
        <w:rPr>
          <w:lang w:eastAsia="x-none"/>
        </w:rPr>
        <w:t>Include Trace ID List in QoE report</w:t>
      </w:r>
    </w:p>
    <w:p w14:paraId="73431019" w14:textId="37FB7103" w:rsidR="00FD2216" w:rsidRDefault="00FD2216" w:rsidP="00FD2216">
      <w:pPr>
        <w:rPr>
          <w:lang w:eastAsia="x-none"/>
        </w:rPr>
      </w:pPr>
      <w:r>
        <w:rPr>
          <w:lang w:eastAsia="x-none"/>
        </w:rPr>
        <w:t>We prefer Option 2 because that doesn’t impact the MDT report and is simpler.</w:t>
      </w:r>
    </w:p>
    <w:p w14:paraId="1847F3D4" w14:textId="6E92F877" w:rsidR="00FD2216" w:rsidRDefault="00FD2216" w:rsidP="00FD2216">
      <w:pPr>
        <w:rPr>
          <w:lang w:eastAsia="x-none"/>
        </w:rPr>
      </w:pPr>
      <w:r w:rsidRPr="00FD2216">
        <w:rPr>
          <w:b/>
          <w:bCs/>
          <w:lang w:eastAsia="x-none"/>
        </w:rPr>
        <w:t>Proposal</w:t>
      </w:r>
      <w:r w:rsidR="00995E09">
        <w:rPr>
          <w:b/>
          <w:bCs/>
          <w:lang w:eastAsia="x-none"/>
        </w:rPr>
        <w:t xml:space="preserve"> 10</w:t>
      </w:r>
      <w:r>
        <w:rPr>
          <w:lang w:eastAsia="x-none"/>
        </w:rPr>
        <w:t>: Include Trace ID list in QoE report sent from NG-RAN to MCE to handle the s</w:t>
      </w:r>
      <w:r w:rsidRPr="00FD2216">
        <w:rPr>
          <w:lang w:eastAsia="x-none"/>
        </w:rPr>
        <w:t>cenario where QoE measur</w:t>
      </w:r>
      <w:r>
        <w:rPr>
          <w:lang w:eastAsia="x-none"/>
        </w:rPr>
        <w:t>e</w:t>
      </w:r>
      <w:r w:rsidRPr="00FD2216">
        <w:rPr>
          <w:lang w:eastAsia="x-none"/>
        </w:rPr>
        <w:t>ment session span across multiple gNBs configured with m-based MDT with different Trace Reference</w:t>
      </w:r>
      <w:r>
        <w:rPr>
          <w:lang w:eastAsia="x-none"/>
        </w:rPr>
        <w:t>.</w:t>
      </w:r>
    </w:p>
    <w:p w14:paraId="0B000642" w14:textId="77777777" w:rsidR="00BA2057" w:rsidRPr="00BA2057" w:rsidRDefault="00BA2057" w:rsidP="00BA2057">
      <w:pPr>
        <w:rPr>
          <w:lang w:eastAsia="x-none"/>
        </w:rPr>
      </w:pPr>
    </w:p>
    <w:p w14:paraId="76ADF0CD" w14:textId="49FF4FE7" w:rsidR="00D81C03" w:rsidRDefault="00D81C03" w:rsidP="00D81C03">
      <w:pPr>
        <w:pStyle w:val="Heading1"/>
        <w:numPr>
          <w:ilvl w:val="0"/>
          <w:numId w:val="2"/>
        </w:numPr>
      </w:pPr>
      <w:r>
        <w:t>Conclusion</w:t>
      </w:r>
    </w:p>
    <w:p w14:paraId="73029E30" w14:textId="77777777" w:rsidR="005E7F37" w:rsidRPr="007F1F26" w:rsidRDefault="005E7F37" w:rsidP="005E7F37">
      <w:pPr>
        <w:rPr>
          <w:lang w:eastAsia="x-none"/>
        </w:rPr>
      </w:pPr>
      <w:r w:rsidRPr="007F1F26">
        <w:rPr>
          <w:b/>
          <w:bCs/>
          <w:lang w:eastAsia="x-none"/>
        </w:rPr>
        <w:t>Observation</w:t>
      </w:r>
      <w:r>
        <w:rPr>
          <w:b/>
          <w:bCs/>
          <w:lang w:eastAsia="x-none"/>
        </w:rPr>
        <w:t xml:space="preserve"> 1</w:t>
      </w:r>
      <w:r w:rsidRPr="007F1F26">
        <w:rPr>
          <w:lang w:eastAsia="x-none"/>
        </w:rPr>
        <w:t xml:space="preserve">: </w:t>
      </w:r>
      <w:r>
        <w:rPr>
          <w:lang w:eastAsia="x-none"/>
        </w:rPr>
        <w:t>As per current agreement, s</w:t>
      </w:r>
      <w:r w:rsidRPr="007F1F26">
        <w:rPr>
          <w:lang w:eastAsia="x-none"/>
        </w:rPr>
        <w:t>ession start/end indication is blindly sent by UE for all QoE configurations</w:t>
      </w:r>
      <w:r>
        <w:rPr>
          <w:lang w:eastAsia="x-none"/>
        </w:rPr>
        <w:t>, even for those QoE configurations which don’t require MDT-QoE alignment</w:t>
      </w:r>
      <w:r w:rsidRPr="00640641">
        <w:rPr>
          <w:lang w:eastAsia="x-none"/>
        </w:rPr>
        <w:t>, resulting in wast</w:t>
      </w:r>
      <w:r>
        <w:rPr>
          <w:lang w:eastAsia="x-none"/>
        </w:rPr>
        <w:t>age</w:t>
      </w:r>
      <w:r w:rsidRPr="00640641">
        <w:rPr>
          <w:lang w:eastAsia="x-none"/>
        </w:rPr>
        <w:t xml:space="preserve"> of radio resources over RRC</w:t>
      </w:r>
      <w:r>
        <w:rPr>
          <w:lang w:eastAsia="x-none"/>
        </w:rPr>
        <w:t xml:space="preserve"> and adds to UE complexity</w:t>
      </w:r>
    </w:p>
    <w:p w14:paraId="467B90DC" w14:textId="77777777" w:rsidR="00CE7F05" w:rsidRPr="00CE7F05" w:rsidRDefault="00CE7F05" w:rsidP="005E7F37">
      <w:pPr>
        <w:rPr>
          <w:lang w:val="en-US" w:eastAsia="x-none"/>
        </w:rPr>
      </w:pPr>
      <w:r w:rsidRPr="00CE7F05">
        <w:rPr>
          <w:b/>
          <w:bCs/>
          <w:lang w:val="en-US" w:eastAsia="x-none"/>
        </w:rPr>
        <w:t>Proposal 1:</w:t>
      </w:r>
      <w:r w:rsidRPr="00CE7F05">
        <w:rPr>
          <w:lang w:val="en-US" w:eastAsia="x-none"/>
        </w:rPr>
        <w:t xml:space="preserve"> NG-RAN can include a “session start/end indication needed per QoE configuration” flag in the QoE configuration sent to UE indicating that UE should send QoE measurement session start and end indication only for </w:t>
      </w:r>
      <w:r w:rsidR="005E7F37" w:rsidRPr="005E7F37">
        <w:rPr>
          <w:lang w:val="en-US" w:eastAsia="x-none"/>
        </w:rPr>
        <w:t>those</w:t>
      </w:r>
      <w:r w:rsidRPr="00CE7F05">
        <w:rPr>
          <w:lang w:val="en-US" w:eastAsia="x-none"/>
        </w:rPr>
        <w:t xml:space="preserve"> QoE configuration</w:t>
      </w:r>
      <w:r w:rsidR="005E7F37" w:rsidRPr="005E7F37">
        <w:rPr>
          <w:lang w:val="en-US" w:eastAsia="x-none"/>
        </w:rPr>
        <w:t>s which require MDT-QoE alignment</w:t>
      </w:r>
    </w:p>
    <w:p w14:paraId="0D711C12" w14:textId="77777777" w:rsidR="005E7F37" w:rsidRPr="003F169F" w:rsidRDefault="005E7F37" w:rsidP="005E7F37">
      <w:pPr>
        <w:rPr>
          <w:lang w:eastAsia="x-none"/>
        </w:rPr>
      </w:pPr>
      <w:r w:rsidRPr="003F169F">
        <w:rPr>
          <w:b/>
          <w:bCs/>
          <w:lang w:eastAsia="x-none"/>
        </w:rPr>
        <w:t xml:space="preserve">Proposal </w:t>
      </w:r>
      <w:r w:rsidRPr="005E7F37">
        <w:rPr>
          <w:b/>
          <w:bCs/>
          <w:lang w:eastAsia="x-none"/>
        </w:rPr>
        <w:t>2</w:t>
      </w:r>
      <w:r w:rsidRPr="003F169F">
        <w:rPr>
          <w:b/>
          <w:bCs/>
          <w:lang w:eastAsia="x-none"/>
        </w:rPr>
        <w:t>:</w:t>
      </w:r>
      <w:r w:rsidRPr="003F169F">
        <w:rPr>
          <w:lang w:eastAsia="x-none"/>
        </w:rPr>
        <w:t xml:space="preserve"> NG-RAN can include an “session start/end indication needed always” flag in the QoE configuration sent to UE indicating </w:t>
      </w:r>
      <w:r w:rsidRPr="005E7F37">
        <w:rPr>
          <w:lang w:eastAsia="x-none"/>
        </w:rPr>
        <w:t>whether</w:t>
      </w:r>
      <w:r w:rsidRPr="003F169F">
        <w:rPr>
          <w:lang w:eastAsia="x-none"/>
        </w:rPr>
        <w:t xml:space="preserve"> UE should send QoE measurement session start and end </w:t>
      </w:r>
      <w:r w:rsidRPr="005E7F37">
        <w:rPr>
          <w:lang w:eastAsia="x-none"/>
        </w:rPr>
        <w:t>indication for</w:t>
      </w:r>
      <w:r w:rsidRPr="003F169F">
        <w:rPr>
          <w:lang w:eastAsia="x-none"/>
        </w:rPr>
        <w:t xml:space="preserve"> all QoE configurations</w:t>
      </w:r>
    </w:p>
    <w:p w14:paraId="474E9157" w14:textId="77777777" w:rsidR="005E7F37" w:rsidRPr="005E7F37" w:rsidRDefault="005E7F37" w:rsidP="005E7F37">
      <w:pPr>
        <w:rPr>
          <w:lang w:eastAsia="x-none"/>
        </w:rPr>
      </w:pPr>
      <w:r w:rsidRPr="005E7F37">
        <w:rPr>
          <w:b/>
          <w:bCs/>
          <w:lang w:eastAsia="x-none"/>
        </w:rPr>
        <w:t>Proposal 3:</w:t>
      </w:r>
      <w:r w:rsidRPr="005E7F37">
        <w:rPr>
          <w:lang w:eastAsia="x-none"/>
        </w:rPr>
        <w:t xml:space="preserve"> If “session start/end indication needed always” flag is set, then “session start/end indication needed per QoE configuration” is not to be included in the QoE configuration or should be ignored if included due to wrong network configuration</w:t>
      </w:r>
    </w:p>
    <w:p w14:paraId="2C2A964A" w14:textId="77777777" w:rsidR="007B0703" w:rsidRPr="007B0703" w:rsidRDefault="007B0703" w:rsidP="005E7F37">
      <w:pPr>
        <w:rPr>
          <w:lang w:val="en-US" w:eastAsia="x-none"/>
        </w:rPr>
      </w:pPr>
      <w:r w:rsidRPr="007B0703">
        <w:rPr>
          <w:b/>
          <w:bCs/>
          <w:lang w:val="en-US" w:eastAsia="x-none"/>
        </w:rPr>
        <w:t xml:space="preserve">Proposal </w:t>
      </w:r>
      <w:r w:rsidR="005E7F37">
        <w:rPr>
          <w:b/>
          <w:bCs/>
          <w:lang w:val="en-US" w:eastAsia="x-none"/>
        </w:rPr>
        <w:t>4</w:t>
      </w:r>
      <w:r w:rsidRPr="007B0703">
        <w:rPr>
          <w:b/>
          <w:bCs/>
          <w:lang w:val="en-US" w:eastAsia="x-none"/>
        </w:rPr>
        <w:t xml:space="preserve">: </w:t>
      </w:r>
      <w:r w:rsidRPr="007B0703">
        <w:rPr>
          <w:lang w:val="en-US" w:eastAsia="x-none"/>
        </w:rPr>
        <w:t xml:space="preserve">UE Access Stratum (AS) should indicate either of the two flags in the QoE configuration sent to UE Application layer in the AT command +CAPPLEVMC used for delivering the QoE configuration </w:t>
      </w:r>
    </w:p>
    <w:p w14:paraId="78D46CFF" w14:textId="77777777" w:rsidR="007B0703" w:rsidRPr="007B0703" w:rsidRDefault="007B0703" w:rsidP="005E7F37">
      <w:pPr>
        <w:rPr>
          <w:lang w:val="en-US" w:eastAsia="x-none"/>
        </w:rPr>
      </w:pPr>
      <w:r w:rsidRPr="007B0703">
        <w:rPr>
          <w:b/>
          <w:bCs/>
          <w:lang w:val="en-US" w:eastAsia="x-none"/>
        </w:rPr>
        <w:t xml:space="preserve">Proposal </w:t>
      </w:r>
      <w:r w:rsidR="005E7F37">
        <w:rPr>
          <w:b/>
          <w:bCs/>
          <w:lang w:val="en-US" w:eastAsia="x-none"/>
        </w:rPr>
        <w:t>5</w:t>
      </w:r>
      <w:r w:rsidRPr="007B0703">
        <w:rPr>
          <w:b/>
          <w:bCs/>
          <w:lang w:val="en-US" w:eastAsia="x-none"/>
        </w:rPr>
        <w:t xml:space="preserve">: </w:t>
      </w:r>
      <w:r w:rsidRPr="007B0703">
        <w:rPr>
          <w:lang w:val="en-US" w:eastAsia="x-none"/>
        </w:rPr>
        <w:t>UE Application should send the session start/indication for only those QoE configurations for which the flag “session start/end indication needed per QoE configuration” is set in the AT command +CAPPLEVMR used for delivering the QoE report</w:t>
      </w:r>
    </w:p>
    <w:p w14:paraId="086663DB" w14:textId="77777777" w:rsidR="007B0703" w:rsidRPr="007B0703" w:rsidRDefault="007B0703" w:rsidP="005E7F37">
      <w:pPr>
        <w:rPr>
          <w:lang w:val="en-US" w:eastAsia="x-none"/>
        </w:rPr>
      </w:pPr>
      <w:r w:rsidRPr="007B0703">
        <w:rPr>
          <w:b/>
          <w:bCs/>
          <w:lang w:val="en-US" w:eastAsia="x-none"/>
        </w:rPr>
        <w:t xml:space="preserve">Proposal </w:t>
      </w:r>
      <w:r w:rsidR="005E7F37" w:rsidRPr="00757E47">
        <w:rPr>
          <w:b/>
          <w:bCs/>
          <w:lang w:val="en-US" w:eastAsia="x-none"/>
        </w:rPr>
        <w:t>6</w:t>
      </w:r>
      <w:r w:rsidRPr="007B0703">
        <w:rPr>
          <w:b/>
          <w:bCs/>
          <w:lang w:val="en-US" w:eastAsia="x-none"/>
        </w:rPr>
        <w:t>:</w:t>
      </w:r>
      <w:r w:rsidRPr="007B0703">
        <w:rPr>
          <w:lang w:val="en-US" w:eastAsia="x-none"/>
        </w:rPr>
        <w:t xml:space="preserve"> UE Application should send the session start/indication for all QoE configurations if the flag “session start/end indication needed always” is set in the AT command +CAPPLEVMR used for delivering the QoE report</w:t>
      </w:r>
    </w:p>
    <w:p w14:paraId="5B118DB7" w14:textId="77777777" w:rsidR="005E7F37" w:rsidRPr="00AA7C1B" w:rsidRDefault="005E7F37" w:rsidP="005E7F37">
      <w:pPr>
        <w:rPr>
          <w:lang w:eastAsia="x-none"/>
        </w:rPr>
      </w:pPr>
      <w:r w:rsidRPr="005D38F7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7</w:t>
      </w:r>
      <w:r w:rsidRPr="005D38F7"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Pr="005D38F7">
        <w:rPr>
          <w:lang w:eastAsia="x-none"/>
        </w:rPr>
        <w:t>OAM should make sure that the MCE and TCE have the same IP address for the correlated QoE-MDT configurations. OAM can still configure different IP address for the MCE and TCE for the non-correlated QoE-MDT configurations</w:t>
      </w:r>
    </w:p>
    <w:p w14:paraId="4B76986C" w14:textId="77777777" w:rsidR="005E7F37" w:rsidRDefault="005E7F37" w:rsidP="005E7F37">
      <w:pPr>
        <w:rPr>
          <w:lang w:eastAsia="x-none"/>
        </w:rPr>
      </w:pPr>
      <w:r w:rsidRPr="007B2AB4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8</w:t>
      </w:r>
      <w:r>
        <w:rPr>
          <w:lang w:eastAsia="x-none"/>
        </w:rPr>
        <w:t>: Alignment between s-based QoE and m-based MDT can be supported by c</w:t>
      </w:r>
      <w:r w:rsidRPr="007B2AB4">
        <w:rPr>
          <w:lang w:eastAsia="x-none"/>
        </w:rPr>
        <w:t>onfiguring an m-based MDT measurement in the same area where an s-based QoE measurement is configured for the UE</w:t>
      </w:r>
    </w:p>
    <w:p w14:paraId="1FC23324" w14:textId="77777777" w:rsidR="005E7F37" w:rsidRPr="00E41068" w:rsidRDefault="005E7F37" w:rsidP="005E7F37">
      <w:pPr>
        <w:rPr>
          <w:lang w:eastAsia="x-none"/>
        </w:rPr>
      </w:pPr>
      <w:r w:rsidRPr="00E41068">
        <w:rPr>
          <w:b/>
          <w:bCs/>
          <w:lang w:eastAsia="x-none"/>
        </w:rPr>
        <w:t>Observation</w:t>
      </w:r>
      <w:r>
        <w:rPr>
          <w:b/>
          <w:bCs/>
          <w:lang w:eastAsia="x-none"/>
        </w:rPr>
        <w:t xml:space="preserve"> 2</w:t>
      </w:r>
      <w:r w:rsidRPr="00E41068">
        <w:rPr>
          <w:lang w:eastAsia="x-none"/>
        </w:rPr>
        <w:t xml:space="preserve">: </w:t>
      </w:r>
      <w:r>
        <w:rPr>
          <w:lang w:eastAsia="x-none"/>
        </w:rPr>
        <w:t>It is true that t</w:t>
      </w:r>
      <w:r w:rsidRPr="00E41068">
        <w:rPr>
          <w:lang w:eastAsia="x-none"/>
        </w:rPr>
        <w:t xml:space="preserve">here is no requirement today to ensure that an incoming UE (handover from another </w:t>
      </w:r>
      <w:r>
        <w:rPr>
          <w:lang w:eastAsia="x-none"/>
        </w:rPr>
        <w:t>NG-RAN</w:t>
      </w:r>
      <w:r w:rsidRPr="00E41068">
        <w:rPr>
          <w:lang w:eastAsia="x-none"/>
        </w:rPr>
        <w:t>) is selected for m-based MDT, but such a scenario is possible for some UEs</w:t>
      </w:r>
    </w:p>
    <w:p w14:paraId="78309FA0" w14:textId="77777777" w:rsidR="00F017C3" w:rsidRPr="00F017C3" w:rsidRDefault="00F017C3" w:rsidP="005E7F37">
      <w:pPr>
        <w:tabs>
          <w:tab w:val="num" w:pos="1440"/>
        </w:tabs>
        <w:rPr>
          <w:lang w:val="en-US" w:eastAsia="x-none"/>
        </w:rPr>
      </w:pPr>
      <w:r w:rsidRPr="00F017C3">
        <w:rPr>
          <w:b/>
          <w:bCs/>
          <w:lang w:val="en-US" w:eastAsia="x-none"/>
        </w:rPr>
        <w:t>Proposal</w:t>
      </w:r>
      <w:r w:rsidR="005E7F37">
        <w:rPr>
          <w:b/>
          <w:bCs/>
          <w:lang w:val="en-US" w:eastAsia="x-none"/>
        </w:rPr>
        <w:t xml:space="preserve"> 9</w:t>
      </w:r>
      <w:r w:rsidRPr="00F017C3">
        <w:rPr>
          <w:lang w:val="en-US" w:eastAsia="x-none"/>
        </w:rPr>
        <w:t>: The scenario where a QoE measurement session span across multiple gNBs configured with different m-based MDT configurations and correlated with the QoE session is possible</w:t>
      </w:r>
      <w:r w:rsidR="005E7F37">
        <w:rPr>
          <w:lang w:val="en-US" w:eastAsia="x-none"/>
        </w:rPr>
        <w:t xml:space="preserve"> (e.g., </w:t>
      </w:r>
      <w:r w:rsidRPr="00F017C3">
        <w:rPr>
          <w:lang w:val="en-US" w:eastAsia="x-none"/>
        </w:rPr>
        <w:t>QoE Ref 1 - Trace Ref 1</w:t>
      </w:r>
      <w:r w:rsidR="005E7F37">
        <w:rPr>
          <w:lang w:val="en-US" w:eastAsia="x-none"/>
        </w:rPr>
        <w:t xml:space="preserve">, </w:t>
      </w:r>
      <w:r w:rsidRPr="00F017C3">
        <w:rPr>
          <w:lang w:val="en-US" w:eastAsia="x-none"/>
        </w:rPr>
        <w:t>QoE Ref 1 - Trace Ref 2</w:t>
      </w:r>
      <w:r w:rsidR="005E7F37">
        <w:rPr>
          <w:lang w:val="en-US" w:eastAsia="x-none"/>
        </w:rPr>
        <w:t xml:space="preserve">, </w:t>
      </w:r>
      <w:r w:rsidRPr="00F017C3">
        <w:rPr>
          <w:lang w:val="en-US" w:eastAsia="x-none"/>
        </w:rPr>
        <w:t>QoE Ref 1 - Trace Ref 3</w:t>
      </w:r>
      <w:r w:rsidR="005E7F37">
        <w:rPr>
          <w:lang w:val="en-US" w:eastAsia="x-none"/>
        </w:rPr>
        <w:t>)</w:t>
      </w:r>
    </w:p>
    <w:p w14:paraId="7C68BC20" w14:textId="77777777" w:rsidR="005E7F37" w:rsidRDefault="005E7F37" w:rsidP="005E7F37">
      <w:pPr>
        <w:rPr>
          <w:lang w:eastAsia="x-none"/>
        </w:rPr>
      </w:pPr>
      <w:r w:rsidRPr="00FD2216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10</w:t>
      </w:r>
      <w:r>
        <w:rPr>
          <w:lang w:eastAsia="x-none"/>
        </w:rPr>
        <w:t>: Include Trace ID list in QoE report sent from NG-RAN to MCE to handle the s</w:t>
      </w:r>
      <w:r w:rsidRPr="00FD2216">
        <w:rPr>
          <w:lang w:eastAsia="x-none"/>
        </w:rPr>
        <w:t>cenario where QoE measur</w:t>
      </w:r>
      <w:r>
        <w:rPr>
          <w:lang w:eastAsia="x-none"/>
        </w:rPr>
        <w:t>e</w:t>
      </w:r>
      <w:r w:rsidRPr="00FD2216">
        <w:rPr>
          <w:lang w:eastAsia="x-none"/>
        </w:rPr>
        <w:t>ment session span across multiple gNBs configured with m-based MDT with different Trace Reference</w:t>
      </w:r>
      <w:r>
        <w:rPr>
          <w:lang w:eastAsia="x-none"/>
        </w:rPr>
        <w:t>.</w:t>
      </w:r>
    </w:p>
    <w:p w14:paraId="50AF501C" w14:textId="77777777" w:rsidR="00D81C03" w:rsidRDefault="00D81C03" w:rsidP="00D81C03">
      <w:pPr>
        <w:pStyle w:val="Heading1"/>
        <w:pBdr>
          <w:top w:val="single" w:sz="12" w:space="2" w:color="auto"/>
        </w:pBdr>
        <w:ind w:left="0" w:firstLine="0"/>
      </w:pPr>
      <w:r>
        <w:lastRenderedPageBreak/>
        <w:t>4. References</w:t>
      </w:r>
    </w:p>
    <w:p w14:paraId="397E1B67" w14:textId="77777777" w:rsidR="00390267" w:rsidRDefault="00390267" w:rsidP="00390267"/>
    <w:p w14:paraId="13621127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74A8" w14:textId="77777777" w:rsidR="001D0F98" w:rsidRDefault="001D0F98" w:rsidP="00390267">
      <w:pPr>
        <w:spacing w:after="0"/>
      </w:pPr>
      <w:r>
        <w:separator/>
      </w:r>
    </w:p>
  </w:endnote>
  <w:endnote w:type="continuationSeparator" w:id="0">
    <w:p w14:paraId="34411F55" w14:textId="77777777" w:rsidR="001D0F98" w:rsidRDefault="001D0F98" w:rsidP="00390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DCFCD" w14:textId="77777777" w:rsidR="001D0F98" w:rsidRDefault="001D0F98" w:rsidP="00390267">
      <w:pPr>
        <w:spacing w:after="0"/>
      </w:pPr>
      <w:r>
        <w:separator/>
      </w:r>
    </w:p>
  </w:footnote>
  <w:footnote w:type="continuationSeparator" w:id="0">
    <w:p w14:paraId="76CBEEF1" w14:textId="77777777" w:rsidR="001D0F98" w:rsidRDefault="001D0F98" w:rsidP="00390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625C"/>
    <w:multiLevelType w:val="hybridMultilevel"/>
    <w:tmpl w:val="54BC3620"/>
    <w:lvl w:ilvl="0" w:tplc="F4785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AC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7C5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8E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A8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A6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020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66F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BCC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A95578"/>
    <w:multiLevelType w:val="multilevel"/>
    <w:tmpl w:val="01A95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A46DF"/>
    <w:multiLevelType w:val="hybridMultilevel"/>
    <w:tmpl w:val="53E25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05F91"/>
    <w:multiLevelType w:val="multilevel"/>
    <w:tmpl w:val="007ACA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CD2940"/>
    <w:multiLevelType w:val="hybridMultilevel"/>
    <w:tmpl w:val="7DD6F690"/>
    <w:lvl w:ilvl="0" w:tplc="7EB699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2D487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D50F6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60EA561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43C83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DB0F4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E1683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7CE6A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3323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 w15:restartNumberingAfterBreak="0">
    <w:nsid w:val="23326A54"/>
    <w:multiLevelType w:val="multilevel"/>
    <w:tmpl w:val="BE3EDCE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3B87C1B"/>
    <w:multiLevelType w:val="hybridMultilevel"/>
    <w:tmpl w:val="ED3E1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270"/>
        </w:tabs>
        <w:ind w:left="27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C65A5A"/>
    <w:multiLevelType w:val="hybridMultilevel"/>
    <w:tmpl w:val="F1607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13C6F"/>
    <w:multiLevelType w:val="hybridMultilevel"/>
    <w:tmpl w:val="3AB0C5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1908A5"/>
    <w:multiLevelType w:val="hybridMultilevel"/>
    <w:tmpl w:val="9448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C592D"/>
    <w:multiLevelType w:val="hybridMultilevel"/>
    <w:tmpl w:val="C9E63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48E422B7"/>
    <w:multiLevelType w:val="multilevel"/>
    <w:tmpl w:val="48E422B7"/>
    <w:lvl w:ilvl="0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4A030FD9"/>
    <w:multiLevelType w:val="hybridMultilevel"/>
    <w:tmpl w:val="7C5E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239B8"/>
    <w:multiLevelType w:val="hybridMultilevel"/>
    <w:tmpl w:val="12CA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D1D69"/>
    <w:multiLevelType w:val="hybridMultilevel"/>
    <w:tmpl w:val="E77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11718C"/>
    <w:multiLevelType w:val="hybridMultilevel"/>
    <w:tmpl w:val="4EEA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24DB5"/>
    <w:multiLevelType w:val="hybridMultilevel"/>
    <w:tmpl w:val="E204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C37E1"/>
    <w:multiLevelType w:val="hybridMultilevel"/>
    <w:tmpl w:val="E1A6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0524D"/>
    <w:multiLevelType w:val="hybridMultilevel"/>
    <w:tmpl w:val="3250B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33A94"/>
    <w:multiLevelType w:val="hybridMultilevel"/>
    <w:tmpl w:val="1DD0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7B3983"/>
    <w:multiLevelType w:val="hybridMultilevel"/>
    <w:tmpl w:val="3ADEB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128E5"/>
    <w:multiLevelType w:val="hybridMultilevel"/>
    <w:tmpl w:val="28C2ED14"/>
    <w:lvl w:ilvl="0" w:tplc="BE3A63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24C9FB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50EFDA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709E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86038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E6EE5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DEB2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1ED7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6C28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82C1FBA"/>
    <w:multiLevelType w:val="hybridMultilevel"/>
    <w:tmpl w:val="A640848C"/>
    <w:lvl w:ilvl="0" w:tplc="862CAD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D475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044009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30634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66097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AA2E5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396B4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CCC3A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ACC4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0A37911"/>
    <w:multiLevelType w:val="hybridMultilevel"/>
    <w:tmpl w:val="9B4AF0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572737"/>
    <w:multiLevelType w:val="hybridMultilevel"/>
    <w:tmpl w:val="E5101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AB4361"/>
    <w:multiLevelType w:val="hybridMultilevel"/>
    <w:tmpl w:val="3E92B914"/>
    <w:lvl w:ilvl="0" w:tplc="C576D8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3FA53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B40B9C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1A28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B3075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D03C2D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2BEBC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5743B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9941C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FD2711E"/>
    <w:multiLevelType w:val="hybridMultilevel"/>
    <w:tmpl w:val="246244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F22A5A"/>
    <w:multiLevelType w:val="hybridMultilevel"/>
    <w:tmpl w:val="0682E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"/>
  </w:num>
  <w:num w:numId="5">
    <w:abstractNumId w:val="1"/>
  </w:num>
  <w:num w:numId="6">
    <w:abstractNumId w:val="18"/>
  </w:num>
  <w:num w:numId="7">
    <w:abstractNumId w:val="17"/>
  </w:num>
  <w:num w:numId="8">
    <w:abstractNumId w:val="8"/>
  </w:num>
  <w:num w:numId="9">
    <w:abstractNumId w:val="14"/>
  </w:num>
  <w:num w:numId="10">
    <w:abstractNumId w:val="3"/>
  </w:num>
  <w:num w:numId="11">
    <w:abstractNumId w:val="26"/>
  </w:num>
  <w:num w:numId="12">
    <w:abstractNumId w:val="13"/>
  </w:num>
  <w:num w:numId="13">
    <w:abstractNumId w:val="9"/>
  </w:num>
  <w:num w:numId="14">
    <w:abstractNumId w:val="27"/>
  </w:num>
  <w:num w:numId="15">
    <w:abstractNumId w:val="1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2"/>
  </w:num>
  <w:num w:numId="21">
    <w:abstractNumId w:val="10"/>
  </w:num>
  <w:num w:numId="22">
    <w:abstractNumId w:val="23"/>
  </w:num>
  <w:num w:numId="23">
    <w:abstractNumId w:val="15"/>
  </w:num>
  <w:num w:numId="24">
    <w:abstractNumId w:val="5"/>
  </w:num>
  <w:num w:numId="25">
    <w:abstractNumId w:val="20"/>
  </w:num>
  <w:num w:numId="26">
    <w:abstractNumId w:val="4"/>
  </w:num>
  <w:num w:numId="27">
    <w:abstractNumId w:val="19"/>
  </w:num>
  <w:num w:numId="28">
    <w:abstractNumId w:val="25"/>
  </w:num>
  <w:num w:numId="29">
    <w:abstractNumId w:val="28"/>
  </w:num>
  <w:num w:numId="30">
    <w:abstractNumId w:val="11"/>
  </w:num>
  <w:num w:numId="31">
    <w:abstractNumId w:val="0"/>
  </w:num>
  <w:num w:numId="32">
    <w:abstractNumId w:val="30"/>
  </w:num>
  <w:num w:numId="33">
    <w:abstractNumId w:val="2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67"/>
    <w:rsid w:val="00000626"/>
    <w:rsid w:val="00002368"/>
    <w:rsid w:val="00005943"/>
    <w:rsid w:val="000133D2"/>
    <w:rsid w:val="00016861"/>
    <w:rsid w:val="00017468"/>
    <w:rsid w:val="00021103"/>
    <w:rsid w:val="00021674"/>
    <w:rsid w:val="00022805"/>
    <w:rsid w:val="00030DC4"/>
    <w:rsid w:val="0004799E"/>
    <w:rsid w:val="000522F2"/>
    <w:rsid w:val="00052610"/>
    <w:rsid w:val="00052CFA"/>
    <w:rsid w:val="00054B56"/>
    <w:rsid w:val="00054FC9"/>
    <w:rsid w:val="00057345"/>
    <w:rsid w:val="00065B56"/>
    <w:rsid w:val="00066980"/>
    <w:rsid w:val="000737B8"/>
    <w:rsid w:val="00074024"/>
    <w:rsid w:val="00081DF0"/>
    <w:rsid w:val="00091533"/>
    <w:rsid w:val="00091987"/>
    <w:rsid w:val="000A2123"/>
    <w:rsid w:val="000A2BEB"/>
    <w:rsid w:val="000A3F81"/>
    <w:rsid w:val="000B040E"/>
    <w:rsid w:val="000B1A34"/>
    <w:rsid w:val="000B2746"/>
    <w:rsid w:val="000B3B18"/>
    <w:rsid w:val="000B5785"/>
    <w:rsid w:val="000C1C06"/>
    <w:rsid w:val="000D2434"/>
    <w:rsid w:val="000D34DA"/>
    <w:rsid w:val="000D6154"/>
    <w:rsid w:val="000D7220"/>
    <w:rsid w:val="000E2CF7"/>
    <w:rsid w:val="000E2D33"/>
    <w:rsid w:val="000E3F06"/>
    <w:rsid w:val="000E4516"/>
    <w:rsid w:val="000E57E3"/>
    <w:rsid w:val="000E71FE"/>
    <w:rsid w:val="000E7C72"/>
    <w:rsid w:val="000F559C"/>
    <w:rsid w:val="00100480"/>
    <w:rsid w:val="001005BE"/>
    <w:rsid w:val="001031E0"/>
    <w:rsid w:val="001044EA"/>
    <w:rsid w:val="00104C07"/>
    <w:rsid w:val="00106E3D"/>
    <w:rsid w:val="00110770"/>
    <w:rsid w:val="00112297"/>
    <w:rsid w:val="0011701D"/>
    <w:rsid w:val="001206C7"/>
    <w:rsid w:val="00123145"/>
    <w:rsid w:val="00131A82"/>
    <w:rsid w:val="00132E12"/>
    <w:rsid w:val="0013422F"/>
    <w:rsid w:val="0013690D"/>
    <w:rsid w:val="00137723"/>
    <w:rsid w:val="00137D58"/>
    <w:rsid w:val="001404E2"/>
    <w:rsid w:val="001531F7"/>
    <w:rsid w:val="001665D8"/>
    <w:rsid w:val="00174262"/>
    <w:rsid w:val="00183750"/>
    <w:rsid w:val="00192919"/>
    <w:rsid w:val="00196205"/>
    <w:rsid w:val="001A07A9"/>
    <w:rsid w:val="001A19CE"/>
    <w:rsid w:val="001A47DF"/>
    <w:rsid w:val="001A735D"/>
    <w:rsid w:val="001A7B00"/>
    <w:rsid w:val="001B6E6F"/>
    <w:rsid w:val="001C3403"/>
    <w:rsid w:val="001C503E"/>
    <w:rsid w:val="001D0F98"/>
    <w:rsid w:val="001D2F1E"/>
    <w:rsid w:val="001D3A3D"/>
    <w:rsid w:val="001D5E8E"/>
    <w:rsid w:val="001D71EB"/>
    <w:rsid w:val="001D75A4"/>
    <w:rsid w:val="001E036D"/>
    <w:rsid w:val="001E29B1"/>
    <w:rsid w:val="001E2FE2"/>
    <w:rsid w:val="001E4A2B"/>
    <w:rsid w:val="0020659A"/>
    <w:rsid w:val="002201DD"/>
    <w:rsid w:val="00224D4B"/>
    <w:rsid w:val="00230082"/>
    <w:rsid w:val="0023035C"/>
    <w:rsid w:val="00233C38"/>
    <w:rsid w:val="00236477"/>
    <w:rsid w:val="00243074"/>
    <w:rsid w:val="00252602"/>
    <w:rsid w:val="0025265F"/>
    <w:rsid w:val="002613DC"/>
    <w:rsid w:val="00263157"/>
    <w:rsid w:val="002667BB"/>
    <w:rsid w:val="00266A7B"/>
    <w:rsid w:val="002740A7"/>
    <w:rsid w:val="00274F1C"/>
    <w:rsid w:val="00277BE3"/>
    <w:rsid w:val="002873E5"/>
    <w:rsid w:val="002A1718"/>
    <w:rsid w:val="002A3706"/>
    <w:rsid w:val="002A7851"/>
    <w:rsid w:val="002B0F6E"/>
    <w:rsid w:val="002B6066"/>
    <w:rsid w:val="002C4294"/>
    <w:rsid w:val="002C519B"/>
    <w:rsid w:val="002C6911"/>
    <w:rsid w:val="002D77DB"/>
    <w:rsid w:val="002E65EC"/>
    <w:rsid w:val="002F0151"/>
    <w:rsid w:val="002F4629"/>
    <w:rsid w:val="002F63D6"/>
    <w:rsid w:val="002F7166"/>
    <w:rsid w:val="003014FF"/>
    <w:rsid w:val="00307970"/>
    <w:rsid w:val="00310D64"/>
    <w:rsid w:val="00312ACB"/>
    <w:rsid w:val="003233C6"/>
    <w:rsid w:val="0032535E"/>
    <w:rsid w:val="00325874"/>
    <w:rsid w:val="0034021E"/>
    <w:rsid w:val="00352B37"/>
    <w:rsid w:val="00356638"/>
    <w:rsid w:val="003653D9"/>
    <w:rsid w:val="003656B5"/>
    <w:rsid w:val="0037429A"/>
    <w:rsid w:val="003759E8"/>
    <w:rsid w:val="00377F17"/>
    <w:rsid w:val="003806CA"/>
    <w:rsid w:val="00390267"/>
    <w:rsid w:val="003A009E"/>
    <w:rsid w:val="003A19DB"/>
    <w:rsid w:val="003A2738"/>
    <w:rsid w:val="003A57B7"/>
    <w:rsid w:val="003B1C4C"/>
    <w:rsid w:val="003C578D"/>
    <w:rsid w:val="003C6D4C"/>
    <w:rsid w:val="003D1BC6"/>
    <w:rsid w:val="003D5F11"/>
    <w:rsid w:val="003D601C"/>
    <w:rsid w:val="003E4604"/>
    <w:rsid w:val="003F169F"/>
    <w:rsid w:val="00400FAF"/>
    <w:rsid w:val="0040385B"/>
    <w:rsid w:val="004100BF"/>
    <w:rsid w:val="004276D9"/>
    <w:rsid w:val="00427D0D"/>
    <w:rsid w:val="00430800"/>
    <w:rsid w:val="00434240"/>
    <w:rsid w:val="00434B09"/>
    <w:rsid w:val="00436D55"/>
    <w:rsid w:val="0044037D"/>
    <w:rsid w:val="00441BFB"/>
    <w:rsid w:val="00446B88"/>
    <w:rsid w:val="00455B30"/>
    <w:rsid w:val="004575FD"/>
    <w:rsid w:val="00457A08"/>
    <w:rsid w:val="00457D84"/>
    <w:rsid w:val="004617DC"/>
    <w:rsid w:val="00466772"/>
    <w:rsid w:val="00482C33"/>
    <w:rsid w:val="00487E3A"/>
    <w:rsid w:val="00492A7D"/>
    <w:rsid w:val="00492DBC"/>
    <w:rsid w:val="00497151"/>
    <w:rsid w:val="00497740"/>
    <w:rsid w:val="004A0912"/>
    <w:rsid w:val="004A0C86"/>
    <w:rsid w:val="004A0EE9"/>
    <w:rsid w:val="004A6265"/>
    <w:rsid w:val="004C2190"/>
    <w:rsid w:val="004C32A0"/>
    <w:rsid w:val="004C3656"/>
    <w:rsid w:val="004D05AC"/>
    <w:rsid w:val="004D0CBA"/>
    <w:rsid w:val="004D5934"/>
    <w:rsid w:val="004D6343"/>
    <w:rsid w:val="004E0F35"/>
    <w:rsid w:val="004E4949"/>
    <w:rsid w:val="004F4376"/>
    <w:rsid w:val="004F55D2"/>
    <w:rsid w:val="0050361D"/>
    <w:rsid w:val="00507CFD"/>
    <w:rsid w:val="00513A79"/>
    <w:rsid w:val="00513DFD"/>
    <w:rsid w:val="00517FEA"/>
    <w:rsid w:val="005266DF"/>
    <w:rsid w:val="00527841"/>
    <w:rsid w:val="00532FF8"/>
    <w:rsid w:val="00533A87"/>
    <w:rsid w:val="005361F3"/>
    <w:rsid w:val="00540E5F"/>
    <w:rsid w:val="00552833"/>
    <w:rsid w:val="00553E33"/>
    <w:rsid w:val="005540A8"/>
    <w:rsid w:val="00556869"/>
    <w:rsid w:val="00557E0F"/>
    <w:rsid w:val="00562AB4"/>
    <w:rsid w:val="005677F3"/>
    <w:rsid w:val="0057205E"/>
    <w:rsid w:val="00573827"/>
    <w:rsid w:val="0057421C"/>
    <w:rsid w:val="005770C3"/>
    <w:rsid w:val="00582243"/>
    <w:rsid w:val="00584561"/>
    <w:rsid w:val="00585C82"/>
    <w:rsid w:val="00592906"/>
    <w:rsid w:val="005A0965"/>
    <w:rsid w:val="005A1CAB"/>
    <w:rsid w:val="005A2B0C"/>
    <w:rsid w:val="005A36F7"/>
    <w:rsid w:val="005B0FD1"/>
    <w:rsid w:val="005B1D77"/>
    <w:rsid w:val="005C318D"/>
    <w:rsid w:val="005C429B"/>
    <w:rsid w:val="005C5C6A"/>
    <w:rsid w:val="005D38F7"/>
    <w:rsid w:val="005D7130"/>
    <w:rsid w:val="005E5EC8"/>
    <w:rsid w:val="005E6C19"/>
    <w:rsid w:val="005E7F37"/>
    <w:rsid w:val="00601031"/>
    <w:rsid w:val="00605D48"/>
    <w:rsid w:val="00614830"/>
    <w:rsid w:val="00617896"/>
    <w:rsid w:val="00617B2E"/>
    <w:rsid w:val="00630218"/>
    <w:rsid w:val="006308D5"/>
    <w:rsid w:val="00634F21"/>
    <w:rsid w:val="00640641"/>
    <w:rsid w:val="00641B1D"/>
    <w:rsid w:val="00641FAC"/>
    <w:rsid w:val="00642323"/>
    <w:rsid w:val="00642876"/>
    <w:rsid w:val="00656FD2"/>
    <w:rsid w:val="00672D1A"/>
    <w:rsid w:val="00676695"/>
    <w:rsid w:val="00682866"/>
    <w:rsid w:val="006837C9"/>
    <w:rsid w:val="0068466D"/>
    <w:rsid w:val="00685C72"/>
    <w:rsid w:val="00685D6A"/>
    <w:rsid w:val="006863C5"/>
    <w:rsid w:val="00686EF5"/>
    <w:rsid w:val="00691A58"/>
    <w:rsid w:val="00694709"/>
    <w:rsid w:val="006962B4"/>
    <w:rsid w:val="00697D3C"/>
    <w:rsid w:val="006A365A"/>
    <w:rsid w:val="006A5356"/>
    <w:rsid w:val="006B13A2"/>
    <w:rsid w:val="006B4D43"/>
    <w:rsid w:val="006C0A30"/>
    <w:rsid w:val="006C27BB"/>
    <w:rsid w:val="006C38DA"/>
    <w:rsid w:val="006D61B5"/>
    <w:rsid w:val="006E01A5"/>
    <w:rsid w:val="006E2073"/>
    <w:rsid w:val="006E2E7E"/>
    <w:rsid w:val="006E77AE"/>
    <w:rsid w:val="006F27FA"/>
    <w:rsid w:val="006F3A40"/>
    <w:rsid w:val="006F3C25"/>
    <w:rsid w:val="006F4F03"/>
    <w:rsid w:val="006F7C54"/>
    <w:rsid w:val="00711AC2"/>
    <w:rsid w:val="0071329D"/>
    <w:rsid w:val="00714BCE"/>
    <w:rsid w:val="00714EE9"/>
    <w:rsid w:val="007261C5"/>
    <w:rsid w:val="007272D7"/>
    <w:rsid w:val="007334E1"/>
    <w:rsid w:val="00737586"/>
    <w:rsid w:val="00743C8A"/>
    <w:rsid w:val="0074625A"/>
    <w:rsid w:val="007471A2"/>
    <w:rsid w:val="007531E3"/>
    <w:rsid w:val="00753D3A"/>
    <w:rsid w:val="00757E47"/>
    <w:rsid w:val="00762AB3"/>
    <w:rsid w:val="0076635E"/>
    <w:rsid w:val="0077722C"/>
    <w:rsid w:val="00780A73"/>
    <w:rsid w:val="00781E2E"/>
    <w:rsid w:val="00782EA0"/>
    <w:rsid w:val="007832FC"/>
    <w:rsid w:val="00785333"/>
    <w:rsid w:val="00787425"/>
    <w:rsid w:val="00794851"/>
    <w:rsid w:val="007A3C7D"/>
    <w:rsid w:val="007B0703"/>
    <w:rsid w:val="007B2AB4"/>
    <w:rsid w:val="007B5356"/>
    <w:rsid w:val="007C0DC1"/>
    <w:rsid w:val="007C57E1"/>
    <w:rsid w:val="007E7697"/>
    <w:rsid w:val="007F1F26"/>
    <w:rsid w:val="007F290C"/>
    <w:rsid w:val="007F5414"/>
    <w:rsid w:val="00801BAF"/>
    <w:rsid w:val="00810635"/>
    <w:rsid w:val="008123A6"/>
    <w:rsid w:val="0081271C"/>
    <w:rsid w:val="00814644"/>
    <w:rsid w:val="00816188"/>
    <w:rsid w:val="008204BB"/>
    <w:rsid w:val="00832B84"/>
    <w:rsid w:val="00844A2F"/>
    <w:rsid w:val="00847C5E"/>
    <w:rsid w:val="00850657"/>
    <w:rsid w:val="00851E34"/>
    <w:rsid w:val="00857D97"/>
    <w:rsid w:val="008610A0"/>
    <w:rsid w:val="008625FD"/>
    <w:rsid w:val="00864372"/>
    <w:rsid w:val="00865258"/>
    <w:rsid w:val="0086688D"/>
    <w:rsid w:val="00871601"/>
    <w:rsid w:val="008716E5"/>
    <w:rsid w:val="00875C84"/>
    <w:rsid w:val="0087691A"/>
    <w:rsid w:val="008849E7"/>
    <w:rsid w:val="00895631"/>
    <w:rsid w:val="008A4D9B"/>
    <w:rsid w:val="008A62C0"/>
    <w:rsid w:val="008A7E15"/>
    <w:rsid w:val="008B65FB"/>
    <w:rsid w:val="008D7882"/>
    <w:rsid w:val="008E052E"/>
    <w:rsid w:val="008E5DFD"/>
    <w:rsid w:val="008F2546"/>
    <w:rsid w:val="008F7178"/>
    <w:rsid w:val="009102ED"/>
    <w:rsid w:val="00911039"/>
    <w:rsid w:val="009124FD"/>
    <w:rsid w:val="00915C85"/>
    <w:rsid w:val="009271C9"/>
    <w:rsid w:val="009304EA"/>
    <w:rsid w:val="009320E8"/>
    <w:rsid w:val="0093331C"/>
    <w:rsid w:val="0093706E"/>
    <w:rsid w:val="009505B5"/>
    <w:rsid w:val="00951EF3"/>
    <w:rsid w:val="0095438C"/>
    <w:rsid w:val="009569B4"/>
    <w:rsid w:val="009607AA"/>
    <w:rsid w:val="00963E7F"/>
    <w:rsid w:val="00982C43"/>
    <w:rsid w:val="0098703B"/>
    <w:rsid w:val="009879B3"/>
    <w:rsid w:val="0099037B"/>
    <w:rsid w:val="00990624"/>
    <w:rsid w:val="009954D7"/>
    <w:rsid w:val="00995D6E"/>
    <w:rsid w:val="00995E09"/>
    <w:rsid w:val="009A751D"/>
    <w:rsid w:val="009A7B08"/>
    <w:rsid w:val="009C24DA"/>
    <w:rsid w:val="009C3864"/>
    <w:rsid w:val="009C4358"/>
    <w:rsid w:val="009D5770"/>
    <w:rsid w:val="009D6D13"/>
    <w:rsid w:val="009E39F1"/>
    <w:rsid w:val="009E7C55"/>
    <w:rsid w:val="009F001A"/>
    <w:rsid w:val="009F63D3"/>
    <w:rsid w:val="00A028DC"/>
    <w:rsid w:val="00A03199"/>
    <w:rsid w:val="00A10BB6"/>
    <w:rsid w:val="00A12E1A"/>
    <w:rsid w:val="00A21DF6"/>
    <w:rsid w:val="00A21FF8"/>
    <w:rsid w:val="00A23786"/>
    <w:rsid w:val="00A24E7F"/>
    <w:rsid w:val="00A26A82"/>
    <w:rsid w:val="00A308D6"/>
    <w:rsid w:val="00A31617"/>
    <w:rsid w:val="00A31DED"/>
    <w:rsid w:val="00A3693E"/>
    <w:rsid w:val="00A37E62"/>
    <w:rsid w:val="00A420B1"/>
    <w:rsid w:val="00A42886"/>
    <w:rsid w:val="00A442B4"/>
    <w:rsid w:val="00A4610F"/>
    <w:rsid w:val="00A51A13"/>
    <w:rsid w:val="00A51B20"/>
    <w:rsid w:val="00A53B3B"/>
    <w:rsid w:val="00A54388"/>
    <w:rsid w:val="00A54429"/>
    <w:rsid w:val="00A65AB1"/>
    <w:rsid w:val="00A8222B"/>
    <w:rsid w:val="00A90546"/>
    <w:rsid w:val="00A93719"/>
    <w:rsid w:val="00A94195"/>
    <w:rsid w:val="00A94F9C"/>
    <w:rsid w:val="00A96683"/>
    <w:rsid w:val="00AA4D7B"/>
    <w:rsid w:val="00AA7C1B"/>
    <w:rsid w:val="00AB1190"/>
    <w:rsid w:val="00AB4AA1"/>
    <w:rsid w:val="00AB6D2D"/>
    <w:rsid w:val="00AC5E80"/>
    <w:rsid w:val="00AD4A1C"/>
    <w:rsid w:val="00AD6848"/>
    <w:rsid w:val="00AD703D"/>
    <w:rsid w:val="00AE4954"/>
    <w:rsid w:val="00AF2643"/>
    <w:rsid w:val="00AF3405"/>
    <w:rsid w:val="00AF4C7C"/>
    <w:rsid w:val="00AF5439"/>
    <w:rsid w:val="00B04392"/>
    <w:rsid w:val="00B06CC2"/>
    <w:rsid w:val="00B11152"/>
    <w:rsid w:val="00B11BCD"/>
    <w:rsid w:val="00B12AB2"/>
    <w:rsid w:val="00B145EA"/>
    <w:rsid w:val="00B27D79"/>
    <w:rsid w:val="00B425E1"/>
    <w:rsid w:val="00B47365"/>
    <w:rsid w:val="00B526C5"/>
    <w:rsid w:val="00B53306"/>
    <w:rsid w:val="00B54D39"/>
    <w:rsid w:val="00B54DD9"/>
    <w:rsid w:val="00B55B2B"/>
    <w:rsid w:val="00B56995"/>
    <w:rsid w:val="00B62392"/>
    <w:rsid w:val="00B7088D"/>
    <w:rsid w:val="00B86655"/>
    <w:rsid w:val="00B866A2"/>
    <w:rsid w:val="00B903D7"/>
    <w:rsid w:val="00B9080D"/>
    <w:rsid w:val="00B92F9B"/>
    <w:rsid w:val="00B958C3"/>
    <w:rsid w:val="00B96558"/>
    <w:rsid w:val="00BA0CAC"/>
    <w:rsid w:val="00BA2057"/>
    <w:rsid w:val="00BB7C1C"/>
    <w:rsid w:val="00BD618E"/>
    <w:rsid w:val="00BD7301"/>
    <w:rsid w:val="00BE4C35"/>
    <w:rsid w:val="00BE7104"/>
    <w:rsid w:val="00BF1F1D"/>
    <w:rsid w:val="00BF3FCB"/>
    <w:rsid w:val="00BF618F"/>
    <w:rsid w:val="00C06840"/>
    <w:rsid w:val="00C10B31"/>
    <w:rsid w:val="00C12829"/>
    <w:rsid w:val="00C15C7F"/>
    <w:rsid w:val="00C15D5C"/>
    <w:rsid w:val="00C16F6B"/>
    <w:rsid w:val="00C22150"/>
    <w:rsid w:val="00C2360C"/>
    <w:rsid w:val="00C23BED"/>
    <w:rsid w:val="00C31A79"/>
    <w:rsid w:val="00C378ED"/>
    <w:rsid w:val="00C402FE"/>
    <w:rsid w:val="00C55B9F"/>
    <w:rsid w:val="00C57A30"/>
    <w:rsid w:val="00C70A89"/>
    <w:rsid w:val="00C72ECC"/>
    <w:rsid w:val="00C77551"/>
    <w:rsid w:val="00CA1FD6"/>
    <w:rsid w:val="00CB0E02"/>
    <w:rsid w:val="00CB20B7"/>
    <w:rsid w:val="00CD046C"/>
    <w:rsid w:val="00CE6E35"/>
    <w:rsid w:val="00CE7E5E"/>
    <w:rsid w:val="00CE7F05"/>
    <w:rsid w:val="00CF4BCF"/>
    <w:rsid w:val="00D03ECB"/>
    <w:rsid w:val="00D063C8"/>
    <w:rsid w:val="00D2276C"/>
    <w:rsid w:val="00D255A4"/>
    <w:rsid w:val="00D306DA"/>
    <w:rsid w:val="00D3278E"/>
    <w:rsid w:val="00D40A6B"/>
    <w:rsid w:val="00D54A3A"/>
    <w:rsid w:val="00D60E24"/>
    <w:rsid w:val="00D60E34"/>
    <w:rsid w:val="00D6235C"/>
    <w:rsid w:val="00D64DBA"/>
    <w:rsid w:val="00D77509"/>
    <w:rsid w:val="00D81C03"/>
    <w:rsid w:val="00D926D0"/>
    <w:rsid w:val="00D949BA"/>
    <w:rsid w:val="00D9712F"/>
    <w:rsid w:val="00DA4048"/>
    <w:rsid w:val="00DA426A"/>
    <w:rsid w:val="00DA685B"/>
    <w:rsid w:val="00DA7A69"/>
    <w:rsid w:val="00DB2D1F"/>
    <w:rsid w:val="00DB6201"/>
    <w:rsid w:val="00DC0436"/>
    <w:rsid w:val="00DC399A"/>
    <w:rsid w:val="00DC4605"/>
    <w:rsid w:val="00DC6610"/>
    <w:rsid w:val="00DC77EE"/>
    <w:rsid w:val="00DD0ADF"/>
    <w:rsid w:val="00DD1591"/>
    <w:rsid w:val="00DD38CC"/>
    <w:rsid w:val="00DD5F14"/>
    <w:rsid w:val="00DE0427"/>
    <w:rsid w:val="00DE361F"/>
    <w:rsid w:val="00DF0DE6"/>
    <w:rsid w:val="00DF22C2"/>
    <w:rsid w:val="00DF2AE9"/>
    <w:rsid w:val="00DF463C"/>
    <w:rsid w:val="00DF5022"/>
    <w:rsid w:val="00DF66CF"/>
    <w:rsid w:val="00DF7A61"/>
    <w:rsid w:val="00E00FAB"/>
    <w:rsid w:val="00E02D31"/>
    <w:rsid w:val="00E02EF6"/>
    <w:rsid w:val="00E0368E"/>
    <w:rsid w:val="00E043D6"/>
    <w:rsid w:val="00E06223"/>
    <w:rsid w:val="00E20205"/>
    <w:rsid w:val="00E2214B"/>
    <w:rsid w:val="00E26959"/>
    <w:rsid w:val="00E41068"/>
    <w:rsid w:val="00E429C0"/>
    <w:rsid w:val="00E43720"/>
    <w:rsid w:val="00E522D2"/>
    <w:rsid w:val="00E613FA"/>
    <w:rsid w:val="00E63DB8"/>
    <w:rsid w:val="00E649DC"/>
    <w:rsid w:val="00E673A6"/>
    <w:rsid w:val="00E70536"/>
    <w:rsid w:val="00E706A4"/>
    <w:rsid w:val="00E80859"/>
    <w:rsid w:val="00E81819"/>
    <w:rsid w:val="00E81BDD"/>
    <w:rsid w:val="00E83A5E"/>
    <w:rsid w:val="00E8696F"/>
    <w:rsid w:val="00E90282"/>
    <w:rsid w:val="00E908FA"/>
    <w:rsid w:val="00E90CB4"/>
    <w:rsid w:val="00E921BA"/>
    <w:rsid w:val="00E94B59"/>
    <w:rsid w:val="00E94F1B"/>
    <w:rsid w:val="00EA3A25"/>
    <w:rsid w:val="00EA5885"/>
    <w:rsid w:val="00EC7806"/>
    <w:rsid w:val="00ED1525"/>
    <w:rsid w:val="00ED316F"/>
    <w:rsid w:val="00ED5C74"/>
    <w:rsid w:val="00EE799F"/>
    <w:rsid w:val="00EF06D9"/>
    <w:rsid w:val="00F017C3"/>
    <w:rsid w:val="00F068DD"/>
    <w:rsid w:val="00F06902"/>
    <w:rsid w:val="00F117A5"/>
    <w:rsid w:val="00F12CE6"/>
    <w:rsid w:val="00F13374"/>
    <w:rsid w:val="00F17E71"/>
    <w:rsid w:val="00F275DB"/>
    <w:rsid w:val="00F329A3"/>
    <w:rsid w:val="00F552F9"/>
    <w:rsid w:val="00F634DB"/>
    <w:rsid w:val="00F7718D"/>
    <w:rsid w:val="00F80699"/>
    <w:rsid w:val="00F807B9"/>
    <w:rsid w:val="00F808F3"/>
    <w:rsid w:val="00F80CA8"/>
    <w:rsid w:val="00F8474E"/>
    <w:rsid w:val="00F96D1C"/>
    <w:rsid w:val="00FA3F65"/>
    <w:rsid w:val="00FA512A"/>
    <w:rsid w:val="00FB5374"/>
    <w:rsid w:val="00FB638E"/>
    <w:rsid w:val="00FC1838"/>
    <w:rsid w:val="00FC7614"/>
    <w:rsid w:val="00FD11D8"/>
    <w:rsid w:val="00FD131E"/>
    <w:rsid w:val="00FD2216"/>
    <w:rsid w:val="00FD46A3"/>
    <w:rsid w:val="00FD576B"/>
    <w:rsid w:val="00FD6267"/>
    <w:rsid w:val="00FE0485"/>
    <w:rsid w:val="00FE2609"/>
    <w:rsid w:val="00FE3A9C"/>
    <w:rsid w:val="00FF01C6"/>
    <w:rsid w:val="00FF06E0"/>
    <w:rsid w:val="00FF65C5"/>
    <w:rsid w:val="00FF7AEC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192EBB"/>
  <w15:chartTrackingRefBased/>
  <w15:docId w15:val="{05ED7D68-9621-4ED9-A51F-EFAADF7A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91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902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390267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390267"/>
    <w:pPr>
      <w:numPr>
        <w:ilvl w:val="2"/>
      </w:numPr>
      <w:tabs>
        <w:tab w:val="clear" w:pos="270"/>
        <w:tab w:val="num" w:pos="0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39026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39026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0267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026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390267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3902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390267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390267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390267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390267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9026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390267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390267"/>
    <w:pPr>
      <w:ind w:left="720"/>
      <w:contextualSpacing/>
    </w:pPr>
  </w:style>
  <w:style w:type="paragraph" w:customStyle="1" w:styleId="TF">
    <w:name w:val="TF"/>
    <w:basedOn w:val="Normal"/>
    <w:link w:val="TFChar"/>
    <w:rsid w:val="00390267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390267"/>
    <w:rPr>
      <w:rFonts w:ascii="Arial" w:eastAsia="SimSu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390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902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">
    <w:name w:val="TAL"/>
    <w:basedOn w:val="Normal"/>
    <w:link w:val="TALCar"/>
    <w:qFormat/>
    <w:rsid w:val="003902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locked/>
    <w:rsid w:val="0039026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3902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locked/>
    <w:rsid w:val="003902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9026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rsid w:val="00487E3A"/>
    <w:rPr>
      <w:rFonts w:ascii="Arial" w:hAnsi="Arial"/>
      <w:sz w:val="18"/>
      <w:lang w:val="en-GB" w:eastAsia="en-GB"/>
    </w:rPr>
  </w:style>
  <w:style w:type="paragraph" w:customStyle="1" w:styleId="TAH">
    <w:name w:val="TAH"/>
    <w:basedOn w:val="Normal"/>
    <w:link w:val="TAHChar"/>
    <w:rsid w:val="00487E3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link w:val="TAH"/>
    <w:qFormat/>
    <w:rsid w:val="00487E3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D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DC4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0972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187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16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87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527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4000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6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5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388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895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87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0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577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4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76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6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6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11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8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3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78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31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6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2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6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8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23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591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192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6</Pages>
  <Words>1664</Words>
  <Characters>9491</Characters>
  <Application>Microsoft Office Word</Application>
  <DocSecurity>0</DocSecurity>
  <Lines>79</Lines>
  <Paragraphs>22</Paragraphs>
  <ScaleCrop>false</ScaleCrop>
  <Company/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Author</cp:lastModifiedBy>
  <cp:revision>582</cp:revision>
  <dcterms:created xsi:type="dcterms:W3CDTF">2021-05-04T05:42:00Z</dcterms:created>
  <dcterms:modified xsi:type="dcterms:W3CDTF">2022-02-11T03:37:00Z</dcterms:modified>
</cp:coreProperties>
</file>